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1B" w:rsidRPr="001C7C1B" w:rsidRDefault="001C7C1B" w:rsidP="001C7C1B">
      <w:pPr>
        <w:pStyle w:val="Default"/>
        <w:rPr>
          <w:b/>
        </w:rPr>
      </w:pPr>
      <w:r>
        <w:rPr>
          <w:b/>
        </w:rPr>
        <w:t>Laney College Learn</w:t>
      </w:r>
      <w:r w:rsidR="004F78AA">
        <w:rPr>
          <w:b/>
        </w:rPr>
        <w:t>ing Assessment Committee MINUTES</w:t>
      </w:r>
      <w:bookmarkStart w:id="0" w:name="_GoBack"/>
      <w:bookmarkEnd w:id="0"/>
      <w:r>
        <w:rPr>
          <w:b/>
        </w:rPr>
        <w:t xml:space="preserve">, </w:t>
      </w:r>
      <w:r w:rsidRPr="001C7C1B">
        <w:rPr>
          <w:sz w:val="20"/>
          <w:szCs w:val="20"/>
        </w:rPr>
        <w:t>Friday, Sept. 11, 2015</w:t>
      </w:r>
      <w:r>
        <w:rPr>
          <w:sz w:val="20"/>
          <w:szCs w:val="20"/>
        </w:rPr>
        <w:t xml:space="preserve">   1-2:30pm, T-750</w:t>
      </w:r>
    </w:p>
    <w:tbl>
      <w:tblPr>
        <w:tblW w:w="144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5220"/>
        <w:gridCol w:w="1350"/>
        <w:gridCol w:w="1350"/>
        <w:gridCol w:w="1350"/>
      </w:tblGrid>
      <w:tr w:rsidR="00FB4471" w:rsidTr="00FB4471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FB4471" w:rsidRDefault="00FB4471" w:rsidP="009B43F0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FB4471" w:rsidRDefault="00FB4471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FB4471" w:rsidRDefault="00FB4471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Date/Time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FB4471" w:rsidRDefault="00FB4471" w:rsidP="00FB4471">
            <w:pPr>
              <w:pStyle w:val="Default"/>
              <w:ind w:right="-108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  <w:r w:rsidR="00764007">
              <w:rPr>
                <w:b/>
                <w:bCs/>
                <w:sz w:val="17"/>
                <w:szCs w:val="17"/>
              </w:rPr>
              <w:t>/responsible party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FB4471" w:rsidRDefault="00FB4471" w:rsidP="00FB4471">
            <w:pPr>
              <w:pStyle w:val="Default"/>
              <w:ind w:right="-10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 DO:</w:t>
            </w:r>
          </w:p>
        </w:tc>
      </w:tr>
      <w:tr w:rsidR="00FB4471" w:rsidRPr="009B43F0" w:rsidTr="00FB4471">
        <w:trPr>
          <w:trHeight w:val="2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  <w:r w:rsidRPr="009B43F0">
              <w:rPr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Welcome, What’s new/different/important this year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Honor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and David for the work they have done in the past.  Thank them for helping so much with the transition</w:t>
            </w:r>
            <w:r w:rsidR="008601A5">
              <w:rPr>
                <w:sz w:val="17"/>
                <w:szCs w:val="17"/>
              </w:rPr>
              <w:t>.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Adrienne Oliver, Rina Santos, Evelyn Lord, Rebecca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>, Chelsea Cohen (8).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Dr. Chan, Karolyn van </w:t>
            </w:r>
            <w:proofErr w:type="spellStart"/>
            <w:r>
              <w:rPr>
                <w:sz w:val="17"/>
                <w:szCs w:val="17"/>
              </w:rPr>
              <w:t>Putten</w:t>
            </w:r>
            <w:proofErr w:type="spellEnd"/>
          </w:p>
          <w:p w:rsidR="00FB4471" w:rsidRPr="009B43F0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Stepped Down:  Kathy Williamson, Ann McMurdo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 – 1:05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9D260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-update minutes and put on website</w:t>
            </w:r>
          </w:p>
          <w:p w:rsidR="009D2607" w:rsidRPr="009B43F0" w:rsidRDefault="009D260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-send minutes for next </w:t>
            </w:r>
            <w:proofErr w:type="spellStart"/>
            <w:r>
              <w:rPr>
                <w:sz w:val="17"/>
                <w:szCs w:val="17"/>
              </w:rPr>
              <w:t>mtng</w:t>
            </w:r>
            <w:proofErr w:type="spellEnd"/>
            <w:r>
              <w:rPr>
                <w:sz w:val="17"/>
                <w:szCs w:val="17"/>
              </w:rPr>
              <w:t xml:space="preserve"> prep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FB44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-have agenda’s printed</w:t>
            </w:r>
          </w:p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-email Christy for keyboard</w:t>
            </w:r>
          </w:p>
        </w:tc>
      </w:tr>
      <w:tr w:rsidR="00FB4471" w:rsidRPr="009B43F0" w:rsidTr="00FB4471">
        <w:trPr>
          <w:trHeight w:val="2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  <w:r w:rsidRPr="009B43F0">
              <w:rPr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2E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Time/date changes for future meetings</w:t>
            </w:r>
          </w:p>
          <w:p w:rsidR="00FB4471" w:rsidRPr="009B43F0" w:rsidRDefault="00FB4471" w:rsidP="002E627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1</w:t>
            </w:r>
            <w:r w:rsidRPr="009B43F0">
              <w:rPr>
                <w:rFonts w:ascii="Verdana" w:hAnsi="Verdana" w:cs="Helvetica"/>
                <w:sz w:val="17"/>
                <w:szCs w:val="17"/>
                <w:vertAlign w:val="superscript"/>
                <w:lang w:eastAsia="ja-JP"/>
              </w:rPr>
              <w:t>st</w:t>
            </w: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 xml:space="preserve"> and 3</w:t>
            </w:r>
            <w:r w:rsidRPr="009B43F0">
              <w:rPr>
                <w:rFonts w:ascii="Verdana" w:hAnsi="Verdana" w:cs="Helvetica"/>
                <w:sz w:val="17"/>
                <w:szCs w:val="17"/>
                <w:vertAlign w:val="superscript"/>
                <w:lang w:eastAsia="ja-JP"/>
              </w:rPr>
              <w:t>rd</w:t>
            </w: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 xml:space="preserve"> Fridays, 11-12:30 in T-750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9D2607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OCT 2, OCT. 16, NOV. 6, NOV. 20, DEC. 4, DEC.18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1:05 – 1:10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2032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-put on website</w:t>
            </w:r>
          </w:p>
          <w:p w:rsidR="002032F5" w:rsidRPr="009B43F0" w:rsidRDefault="002032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-outlook calendar &amp; </w:t>
            </w:r>
            <w:proofErr w:type="spellStart"/>
            <w:r>
              <w:rPr>
                <w:sz w:val="17"/>
                <w:szCs w:val="17"/>
              </w:rPr>
              <w:t>gmail</w:t>
            </w:r>
            <w:proofErr w:type="spellEnd"/>
          </w:p>
        </w:tc>
      </w:tr>
      <w:tr w:rsidR="00FB4471" w:rsidRPr="009B43F0" w:rsidTr="00FB4471">
        <w:trPr>
          <w:trHeight w:val="33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  <w:r w:rsidRPr="009B43F0">
              <w:rPr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2E62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Suggestion from CC Co-chair: LAC camps overlap with CC</w:t>
            </w:r>
          </w:p>
          <w:p w:rsidR="00FB4471" w:rsidRPr="009B43F0" w:rsidRDefault="00FB4471" w:rsidP="002E627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September 25</w:t>
            </w:r>
            <w:r w:rsidRPr="009B43F0">
              <w:rPr>
                <w:rFonts w:ascii="Verdana" w:hAnsi="Verdana" w:cs="Helvetica"/>
                <w:sz w:val="17"/>
                <w:szCs w:val="17"/>
                <w:vertAlign w:val="superscript"/>
                <w:lang w:eastAsia="ja-JP"/>
              </w:rPr>
              <w:t>th</w:t>
            </w: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, 11-1; October 9</w:t>
            </w:r>
            <w:r w:rsidRPr="009B43F0">
              <w:rPr>
                <w:rFonts w:ascii="Verdana" w:hAnsi="Verdana" w:cs="Helvetica"/>
                <w:sz w:val="17"/>
                <w:szCs w:val="17"/>
                <w:vertAlign w:val="superscript"/>
                <w:lang w:eastAsia="ja-JP"/>
              </w:rPr>
              <w:t>th</w:t>
            </w: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, 12-2 locations TBD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Location is now </w:t>
            </w:r>
            <w:r w:rsidR="00997FA7">
              <w:rPr>
                <w:sz w:val="17"/>
                <w:szCs w:val="17"/>
              </w:rPr>
              <w:t>determined:  Graphic Arts lab (</w:t>
            </w:r>
            <w:r>
              <w:rPr>
                <w:sz w:val="17"/>
                <w:szCs w:val="17"/>
              </w:rPr>
              <w:t>A-153)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1:10 – 1:15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2032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-put on website</w:t>
            </w:r>
          </w:p>
          <w:p w:rsidR="00BD5440" w:rsidRPr="009B43F0" w:rsidRDefault="00BD544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-advertise camps</w:t>
            </w: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  <w:r w:rsidRPr="009B43F0">
              <w:rPr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Rubric for SLO approval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764007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Mapping will be different in meta –will be SLO to PLO to ILO</w:t>
            </w:r>
            <w:r w:rsidR="00FB4471">
              <w:rPr>
                <w:sz w:val="17"/>
                <w:szCs w:val="17"/>
              </w:rPr>
              <w:t>, except the stand alone</w:t>
            </w:r>
          </w:p>
          <w:p w:rsidR="00FB4471" w:rsidRDefault="00764007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Bloom’s confirmation: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 w:rsidR="00FB4471">
              <w:rPr>
                <w:sz w:val="17"/>
                <w:szCs w:val="17"/>
              </w:rPr>
              <w:t xml:space="preserve"> at least ½ of the </w:t>
            </w:r>
            <w:proofErr w:type="spellStart"/>
            <w:r w:rsidR="00FB4471">
              <w:rPr>
                <w:sz w:val="17"/>
                <w:szCs w:val="17"/>
              </w:rPr>
              <w:t>slos</w:t>
            </w:r>
            <w:proofErr w:type="spellEnd"/>
            <w:r w:rsidR="00FB4471">
              <w:rPr>
                <w:sz w:val="17"/>
                <w:szCs w:val="17"/>
              </w:rPr>
              <w:t xml:space="preserve"> are higher level “app</w:t>
            </w:r>
            <w:r>
              <w:rPr>
                <w:sz w:val="17"/>
                <w:szCs w:val="17"/>
              </w:rPr>
              <w:t xml:space="preserve">ly” is not quite higher level. 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Addrienne</w:t>
            </w:r>
            <w:proofErr w:type="spellEnd"/>
            <w:r w:rsidR="009D2607">
              <w:rPr>
                <w:sz w:val="17"/>
                <w:szCs w:val="17"/>
              </w:rPr>
              <w:t>- Blooms T</w:t>
            </w:r>
            <w:r>
              <w:rPr>
                <w:sz w:val="17"/>
                <w:szCs w:val="17"/>
              </w:rPr>
              <w:t xml:space="preserve">axonomy as a flex day workshop </w:t>
            </w:r>
          </w:p>
          <w:p w:rsidR="00764007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>-</w:t>
            </w:r>
            <w:r w:rsidR="00764007">
              <w:rPr>
                <w:sz w:val="17"/>
                <w:szCs w:val="17"/>
              </w:rPr>
              <w:t xml:space="preserve"> email showing documented examples of why courses did not get approved at state.  Not just SLO, but importance of needing to match course outline. </w:t>
            </w:r>
          </w:p>
          <w:p w:rsidR="00FB4471" w:rsidRDefault="00764007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assignment section of the Course Outline in </w:t>
            </w:r>
            <w:proofErr w:type="spellStart"/>
            <w:r>
              <w:rPr>
                <w:sz w:val="17"/>
                <w:szCs w:val="17"/>
              </w:rPr>
              <w:t>CurricuNet</w:t>
            </w:r>
            <w:proofErr w:type="spellEnd"/>
            <w:r w:rsidR="00FB4471">
              <w:rPr>
                <w:sz w:val="17"/>
                <w:szCs w:val="17"/>
              </w:rPr>
              <w:t xml:space="preserve"> –h</w:t>
            </w:r>
            <w:r>
              <w:rPr>
                <w:sz w:val="17"/>
                <w:szCs w:val="17"/>
              </w:rPr>
              <w:t>ave the assignment match and SLO and then that matches the PLO and that matches to ILO</w:t>
            </w:r>
          </w:p>
          <w:p w:rsidR="00764007" w:rsidRDefault="00764007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Have </w:t>
            </w:r>
            <w:r w:rsidR="00FB4471">
              <w:rPr>
                <w:sz w:val="17"/>
                <w:szCs w:val="17"/>
              </w:rPr>
              <w:t xml:space="preserve">Lilia ask commission if what we are going to do – is that good enough. 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—it seems what </w:t>
            </w:r>
            <w:proofErr w:type="gramStart"/>
            <w:r>
              <w:rPr>
                <w:sz w:val="17"/>
                <w:szCs w:val="17"/>
              </w:rPr>
              <w:t>your</w:t>
            </w:r>
            <w:proofErr w:type="gramEnd"/>
            <w:r>
              <w:rPr>
                <w:sz w:val="17"/>
                <w:szCs w:val="17"/>
              </w:rPr>
              <w:t xml:space="preserve"> suggesting is not enough, then we need to change things completely.  It seems that when reading the standard it doesn’t seem to be what assessment is supposed to be for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Stand alone: 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you were offering a degree then did you have to offer the AA-T degree</w:t>
            </w:r>
          </w:p>
          <w:p w:rsidR="00FB4471" w:rsidRPr="009B43F0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do you map a class that maps to more than one program</w:t>
            </w:r>
            <w:r w:rsidR="00764007">
              <w:rPr>
                <w:sz w:val="17"/>
                <w:szCs w:val="17"/>
              </w:rPr>
              <w:t>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1:15 – 1:20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76400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-Talk to Lilia to ask ACCJC if this will be valid for evidence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98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-Get </w:t>
            </w:r>
            <w:proofErr w:type="spellStart"/>
            <w:r>
              <w:rPr>
                <w:sz w:val="17"/>
                <w:szCs w:val="17"/>
              </w:rPr>
              <w:t>Cheli’s</w:t>
            </w:r>
            <w:proofErr w:type="spellEnd"/>
            <w:r>
              <w:rPr>
                <w:sz w:val="17"/>
                <w:szCs w:val="17"/>
              </w:rPr>
              <w:t xml:space="preserve"> rubrics for next meeting</w:t>
            </w:r>
          </w:p>
          <w:p w:rsidR="00764007" w:rsidRDefault="0076400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-bring </w:t>
            </w:r>
            <w:proofErr w:type="spellStart"/>
            <w:r>
              <w:rPr>
                <w:sz w:val="17"/>
                <w:szCs w:val="17"/>
              </w:rPr>
              <w:t>Blooms’s</w:t>
            </w:r>
            <w:proofErr w:type="spellEnd"/>
          </w:p>
          <w:p w:rsidR="00764007" w:rsidRDefault="0076400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-Bloom’s Taxonomy for a workshop</w:t>
            </w:r>
          </w:p>
          <w:p w:rsidR="00764007" w:rsidRPr="009B43F0" w:rsidRDefault="0076400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VI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 xml:space="preserve">LAC Membership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985395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Question on joint comm</w:t>
            </w:r>
            <w:r w:rsidR="008601A5">
              <w:rPr>
                <w:sz w:val="17"/>
                <w:szCs w:val="17"/>
              </w:rPr>
              <w:t>ittee</w:t>
            </w:r>
            <w:r>
              <w:rPr>
                <w:sz w:val="17"/>
                <w:szCs w:val="17"/>
              </w:rPr>
              <w:t xml:space="preserve"> –v- subcommittee</w:t>
            </w:r>
          </w:p>
          <w:p w:rsidR="00985395" w:rsidRDefault="00985395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Differing views on comm. Will confer with FS Pres.</w:t>
            </w:r>
          </w:p>
          <w:p w:rsidR="00FB4471" w:rsidRDefault="008601A5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Evolution of me</w:t>
            </w:r>
            <w:r w:rsidR="00FB4471">
              <w:rPr>
                <w:sz w:val="17"/>
                <w:szCs w:val="17"/>
              </w:rPr>
              <w:t>mbership</w:t>
            </w:r>
            <w:r>
              <w:rPr>
                <w:sz w:val="17"/>
                <w:szCs w:val="17"/>
              </w:rPr>
              <w:t xml:space="preserve"> categories</w:t>
            </w:r>
            <w:r w:rsidR="00FB4471">
              <w:rPr>
                <w:sz w:val="17"/>
                <w:szCs w:val="17"/>
              </w:rPr>
              <w:t>—</w:t>
            </w:r>
          </w:p>
          <w:p w:rsidR="008601A5" w:rsidRDefault="008601A5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Looking at membership categories of Faculty Senate, Curriculum Committee, and College Council</w:t>
            </w:r>
          </w:p>
          <w:p w:rsidR="00FB4471" w:rsidRDefault="008601A5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Student member- </w:t>
            </w:r>
            <w:proofErr w:type="spellStart"/>
            <w:r>
              <w:rPr>
                <w:sz w:val="17"/>
                <w:szCs w:val="17"/>
              </w:rPr>
              <w:t>Chelli</w:t>
            </w:r>
            <w:proofErr w:type="spellEnd"/>
            <w:r>
              <w:rPr>
                <w:sz w:val="17"/>
                <w:szCs w:val="17"/>
              </w:rPr>
              <w:t xml:space="preserve"> &amp; David had talked to ASLC president and they appointed a student who was an officer in the ASLC</w:t>
            </w:r>
            <w:r w:rsidR="00FB4471">
              <w:rPr>
                <w:sz w:val="17"/>
                <w:szCs w:val="17"/>
              </w:rPr>
              <w:t xml:space="preserve"> </w:t>
            </w:r>
          </w:p>
          <w:p w:rsidR="00FB4471" w:rsidRDefault="008601A5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Evelyn Lord</w:t>
            </w:r>
            <w:r w:rsidR="00FB4471">
              <w:rPr>
                <w:sz w:val="17"/>
                <w:szCs w:val="17"/>
              </w:rPr>
              <w:t xml:space="preserve"> – 1 </w:t>
            </w:r>
            <w:proofErr w:type="spellStart"/>
            <w:r w:rsidR="00FB4471">
              <w:rPr>
                <w:sz w:val="17"/>
                <w:szCs w:val="17"/>
              </w:rPr>
              <w:t>english</w:t>
            </w:r>
            <w:proofErr w:type="spellEnd"/>
            <w:r w:rsidR="00FB4471">
              <w:rPr>
                <w:sz w:val="17"/>
                <w:szCs w:val="17"/>
              </w:rPr>
              <w:t xml:space="preserve">, 1 </w:t>
            </w:r>
            <w:proofErr w:type="spellStart"/>
            <w:r w:rsidR="00FB4471">
              <w:rPr>
                <w:sz w:val="17"/>
                <w:szCs w:val="17"/>
              </w:rPr>
              <w:t>esl</w:t>
            </w:r>
            <w:proofErr w:type="spellEnd"/>
            <w:r w:rsidR="00FB4471">
              <w:rPr>
                <w:sz w:val="17"/>
                <w:szCs w:val="17"/>
              </w:rPr>
              <w:t>, 1 math, 1 lib, 1 counseling, used to have VPI on committee (or designee)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 w:rsidR="008601A5">
              <w:rPr>
                <w:sz w:val="17"/>
                <w:szCs w:val="17"/>
              </w:rPr>
              <w:t xml:space="preserve"> </w:t>
            </w:r>
            <w:proofErr w:type="spellStart"/>
            <w:r w:rsidR="008601A5"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 – 2 </w:t>
            </w:r>
            <w:proofErr w:type="spellStart"/>
            <w:r>
              <w:rPr>
                <w:sz w:val="17"/>
                <w:szCs w:val="17"/>
              </w:rPr>
              <w:t>cte</w:t>
            </w:r>
            <w:proofErr w:type="spellEnd"/>
            <w:r>
              <w:rPr>
                <w:sz w:val="17"/>
                <w:szCs w:val="17"/>
              </w:rPr>
              <w:t xml:space="preserve"> for sure</w:t>
            </w:r>
          </w:p>
          <w:p w:rsidR="00FB4471" w:rsidRDefault="008601A5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Evelyn Lord</w:t>
            </w:r>
            <w:r w:rsidR="00FB4471">
              <w:rPr>
                <w:sz w:val="17"/>
                <w:szCs w:val="17"/>
              </w:rPr>
              <w:t xml:space="preserve"> – ethnic studies is huge, maybe ask from someone and pull from those areas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Comments:  EL like at large</w:t>
            </w:r>
            <w:r w:rsidR="008601A5">
              <w:rPr>
                <w:sz w:val="17"/>
                <w:szCs w:val="17"/>
              </w:rPr>
              <w:t xml:space="preserve"> and that it is 4</w:t>
            </w:r>
          </w:p>
          <w:p w:rsidR="00FB4471" w:rsidRPr="00F140D0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 FPC – they set up areas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1:20 – 1:30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2032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-send to FS president, Lisa Cook to be on FS agenda DONE 9/11/15</w:t>
            </w: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VII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LAC Charge – roles/responsibilities of committee members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952FDF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With Student Services</w:t>
            </w:r>
            <w:r w:rsidR="00F140D0">
              <w:rPr>
                <w:sz w:val="17"/>
                <w:szCs w:val="17"/>
              </w:rPr>
              <w:t xml:space="preserve"> – need</w:t>
            </w:r>
            <w:r w:rsidR="00FB4471">
              <w:rPr>
                <w:sz w:val="17"/>
                <w:szCs w:val="17"/>
              </w:rPr>
              <w:t xml:space="preserve"> to meet with Mildred</w:t>
            </w:r>
          </w:p>
          <w:p w:rsidR="00FB4471" w:rsidRDefault="00772DBD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awareness---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-  ACCJC</w:t>
            </w:r>
            <w:r w:rsidR="00FB4471">
              <w:rPr>
                <w:sz w:val="17"/>
                <w:szCs w:val="17"/>
              </w:rPr>
              <w:t xml:space="preserve"> rubric – </w:t>
            </w:r>
            <w:r>
              <w:rPr>
                <w:sz w:val="17"/>
                <w:szCs w:val="17"/>
              </w:rPr>
              <w:t>had a part about student awareness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—are we only doing instruction?  Do we assess administrators? Student services? 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IE committee---</w:t>
            </w:r>
            <w:r w:rsidR="00F140D0">
              <w:rPr>
                <w:sz w:val="17"/>
                <w:szCs w:val="17"/>
              </w:rPr>
              <w:t xml:space="preserve">might be where handling </w:t>
            </w:r>
            <w:r>
              <w:rPr>
                <w:sz w:val="17"/>
                <w:szCs w:val="17"/>
              </w:rPr>
              <w:t>administrators assessment</w:t>
            </w:r>
          </w:p>
          <w:p w:rsidR="00F140D0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>-</w:t>
            </w:r>
            <w:r w:rsidR="00F140D0">
              <w:rPr>
                <w:sz w:val="17"/>
                <w:szCs w:val="17"/>
              </w:rPr>
              <w:t xml:space="preserve"> tried to get </w:t>
            </w:r>
            <w:proofErr w:type="spellStart"/>
            <w:r w:rsidR="00F140D0">
              <w:rPr>
                <w:sz w:val="17"/>
                <w:szCs w:val="17"/>
              </w:rPr>
              <w:t>ss</w:t>
            </w:r>
            <w:proofErr w:type="spellEnd"/>
            <w:r w:rsidR="00F140D0">
              <w:rPr>
                <w:sz w:val="17"/>
                <w:szCs w:val="17"/>
              </w:rPr>
              <w:t xml:space="preserve"> involved in past</w:t>
            </w:r>
          </w:p>
          <w:p w:rsidR="00FB4471" w:rsidRDefault="00F140D0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 agrees and LAC</w:t>
            </w:r>
            <w:r w:rsidR="00FB4471">
              <w:rPr>
                <w:sz w:val="17"/>
                <w:szCs w:val="17"/>
              </w:rPr>
              <w:t xml:space="preserve"> used to have a classified 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Rebecca-</w:t>
            </w:r>
            <w:r w:rsidR="00F140D0">
              <w:rPr>
                <w:sz w:val="17"/>
                <w:szCs w:val="17"/>
              </w:rPr>
              <w:t xml:space="preserve"> SS does </w:t>
            </w:r>
            <w:r>
              <w:rPr>
                <w:sz w:val="17"/>
                <w:szCs w:val="17"/>
              </w:rPr>
              <w:t xml:space="preserve">program review, </w:t>
            </w:r>
            <w:proofErr w:type="spellStart"/>
            <w:r>
              <w:rPr>
                <w:sz w:val="17"/>
                <w:szCs w:val="17"/>
              </w:rPr>
              <w:t>apu’s</w:t>
            </w:r>
            <w:proofErr w:type="spellEnd"/>
            <w:r>
              <w:rPr>
                <w:sz w:val="17"/>
                <w:szCs w:val="17"/>
              </w:rPr>
              <w:t xml:space="preserve"> and assessment.</w:t>
            </w:r>
            <w:r w:rsidR="00F140D0">
              <w:rPr>
                <w:sz w:val="17"/>
                <w:szCs w:val="17"/>
              </w:rPr>
              <w:t xml:space="preserve"> 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>-if we aren’t watching out for it</w:t>
            </w:r>
            <w:r w:rsidR="00F140D0">
              <w:rPr>
                <w:sz w:val="17"/>
                <w:szCs w:val="17"/>
              </w:rPr>
              <w:t xml:space="preserve"> (assessment in all areas)</w:t>
            </w:r>
            <w:r>
              <w:rPr>
                <w:sz w:val="17"/>
                <w:szCs w:val="17"/>
              </w:rPr>
              <w:t>, then it will fall through the cracks.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RB – there needs to b</w:t>
            </w:r>
            <w:r w:rsidR="00F140D0">
              <w:rPr>
                <w:sz w:val="17"/>
                <w:szCs w:val="17"/>
              </w:rPr>
              <w:t>e a defined relationship with SS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Rina – our responsibility to try for student involvement</w:t>
            </w:r>
            <w:r w:rsidR="00F140D0">
              <w:rPr>
                <w:sz w:val="17"/>
                <w:szCs w:val="17"/>
              </w:rPr>
              <w:t>? Wants something defined in there for student awareness</w:t>
            </w:r>
          </w:p>
          <w:p w:rsidR="00FB4471" w:rsidRDefault="00F140D0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 Students – put </w:t>
            </w:r>
            <w:r w:rsidR="00FB4471">
              <w:rPr>
                <w:sz w:val="17"/>
                <w:szCs w:val="17"/>
              </w:rPr>
              <w:t>in</w:t>
            </w:r>
            <w:r>
              <w:rPr>
                <w:sz w:val="17"/>
                <w:szCs w:val="17"/>
              </w:rPr>
              <w:t xml:space="preserve"> syllabus as </w:t>
            </w:r>
            <w:r w:rsidR="00FB4471">
              <w:rPr>
                <w:sz w:val="17"/>
                <w:szCs w:val="17"/>
              </w:rPr>
              <w:t xml:space="preserve"> awareness….and half way through semester send email to instructors to remind them to maybe ask their </w:t>
            </w:r>
            <w:r>
              <w:rPr>
                <w:sz w:val="17"/>
                <w:szCs w:val="17"/>
              </w:rPr>
              <w:t>students about SLOs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Reb</w:t>
            </w:r>
            <w:r w:rsidR="00F140D0">
              <w:rPr>
                <w:sz w:val="17"/>
                <w:szCs w:val="17"/>
              </w:rPr>
              <w:t xml:space="preserve"> calls, Heather</w:t>
            </w:r>
            <w:r>
              <w:rPr>
                <w:sz w:val="17"/>
                <w:szCs w:val="17"/>
              </w:rPr>
              <w:t>, EL second, unanimous…….</w:t>
            </w:r>
          </w:p>
          <w:p w:rsidR="00FB4471" w:rsidRDefault="00FB4471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Parliamentary acts---consensus is valid</w:t>
            </w:r>
          </w:p>
          <w:p w:rsidR="00FB4471" w:rsidRPr="009B43F0" w:rsidRDefault="00FB4471" w:rsidP="009D2607">
            <w:pPr>
              <w:pStyle w:val="Default"/>
              <w:ind w:left="252" w:hanging="252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1:30 – 1:45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0D0" w:rsidRDefault="00F140D0" w:rsidP="00F140D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-email Mildred to meet with her</w:t>
            </w:r>
          </w:p>
          <w:p w:rsidR="00FB4471" w:rsidRDefault="00F140D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-half way through semester, email instructor about SLO inquiry</w:t>
            </w:r>
          </w:p>
          <w:p w:rsidR="00F140D0" w:rsidRDefault="00F140D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-define relationship with SS</w:t>
            </w:r>
          </w:p>
          <w:p w:rsidR="00F140D0" w:rsidRPr="009B43F0" w:rsidRDefault="00F140D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-ask IEC to assess administ</w:t>
            </w:r>
            <w:r w:rsidR="00A8147C">
              <w:rPr>
                <w:sz w:val="17"/>
                <w:szCs w:val="17"/>
              </w:rPr>
              <w:t>rat</w:t>
            </w:r>
            <w:r>
              <w:rPr>
                <w:sz w:val="17"/>
                <w:szCs w:val="17"/>
              </w:rPr>
              <w:t>ors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0D0" w:rsidRDefault="00F140D0" w:rsidP="00F140D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Put circle of life as its own sheet to give anyone —put on the face of our webpage</w:t>
            </w:r>
          </w:p>
          <w:p w:rsidR="00F140D0" w:rsidRPr="009B43F0" w:rsidRDefault="00F140D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-keep watching for assessment in all areas</w:t>
            </w: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VIII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Excel spreadsheet for documenting the assessment cycle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772DBD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Ran out of time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1:45 – 1:50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IX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 xml:space="preserve">Preparation for Departments sheet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772DBD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Ran out of time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1:50 – 1:55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ILO Rubrics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772DBD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Ran out of time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1:55 – 2:20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XI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Program Review alternate wording (feedback, suggestions)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A8147C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Alternate wording discussed, changes made. Ran out of time.  Will send to LAC to look at on Monday.  </w:t>
            </w:r>
          </w:p>
          <w:p w:rsidR="00772DBD" w:rsidRPr="009B43F0" w:rsidRDefault="00772DBD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Goal:  FS approval at T 9.16.15 meeting. Final copy to Lilia. Final copy uploaded to Program Review website and made available to </w:t>
            </w:r>
            <w:proofErr w:type="spellStart"/>
            <w:r>
              <w:rPr>
                <w:sz w:val="17"/>
                <w:szCs w:val="17"/>
              </w:rPr>
              <w:t>dept</w:t>
            </w:r>
            <w:proofErr w:type="spellEnd"/>
            <w:r>
              <w:rPr>
                <w:sz w:val="17"/>
                <w:szCs w:val="17"/>
              </w:rPr>
              <w:t xml:space="preserve"> chairs/coordinators by </w:t>
            </w:r>
            <w:proofErr w:type="spellStart"/>
            <w:r>
              <w:rPr>
                <w:sz w:val="17"/>
                <w:szCs w:val="17"/>
              </w:rPr>
              <w:t>Th</w:t>
            </w:r>
            <w:proofErr w:type="spellEnd"/>
            <w:r>
              <w:rPr>
                <w:sz w:val="17"/>
                <w:szCs w:val="17"/>
              </w:rPr>
              <w:t xml:space="preserve"> 9.17.16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2:20 – 2:25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Default="00A814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-finish updating</w:t>
            </w:r>
          </w:p>
          <w:p w:rsidR="00772DBD" w:rsidRDefault="00772D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-email updates to LAC by 9/14/15</w:t>
            </w:r>
          </w:p>
          <w:p w:rsidR="00A8147C" w:rsidRPr="009B43F0" w:rsidRDefault="00A814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-FS agenda item for T 9.16.15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</w:tr>
      <w:tr w:rsidR="00FB4471" w:rsidRPr="009B43F0" w:rsidTr="00FB4471">
        <w:trPr>
          <w:trHeight w:val="6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XII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 w:rsidP="009B43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7"/>
                <w:szCs w:val="17"/>
                <w:lang w:eastAsia="ja-JP"/>
              </w:rPr>
            </w:pPr>
            <w:r w:rsidRPr="009B43F0">
              <w:rPr>
                <w:rFonts w:ascii="Verdana" w:hAnsi="Verdana" w:cs="Helvetica"/>
                <w:sz w:val="17"/>
                <w:szCs w:val="17"/>
                <w:lang w:eastAsia="ja-JP"/>
              </w:rPr>
              <w:t>Initiation Form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772DBD" w:rsidP="009D2607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Ran out of time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A611B" w:rsidRDefault="00FB4471" w:rsidP="005F1951">
            <w:pPr>
              <w:rPr>
                <w:rFonts w:asciiTheme="majorHAnsi" w:hAnsiTheme="majorHAnsi"/>
              </w:rPr>
            </w:pPr>
            <w:r w:rsidRPr="009A611B">
              <w:rPr>
                <w:rFonts w:asciiTheme="majorHAnsi" w:hAnsiTheme="majorHAnsi"/>
              </w:rPr>
              <w:t>2:25 – 2:30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</w:tr>
      <w:tr w:rsidR="00FB4471" w:rsidRPr="009B43F0" w:rsidTr="00FB4471">
        <w:trPr>
          <w:trHeight w:val="253"/>
        </w:trPr>
        <w:tc>
          <w:tcPr>
            <w:tcW w:w="13068" w:type="dxa"/>
            <w:gridSpan w:val="5"/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</w:tcPr>
          <w:p w:rsidR="00FB4471" w:rsidRPr="009B43F0" w:rsidRDefault="00FB4471">
            <w:pPr>
              <w:pStyle w:val="Default"/>
              <w:rPr>
                <w:sz w:val="17"/>
                <w:szCs w:val="17"/>
              </w:rPr>
            </w:pPr>
          </w:p>
        </w:tc>
      </w:tr>
    </w:tbl>
    <w:p w:rsidR="008F6C8F" w:rsidRPr="009B43F0" w:rsidRDefault="008F6C8F">
      <w:pPr>
        <w:rPr>
          <w:rFonts w:ascii="Verdana" w:hAnsi="Verdana"/>
          <w:sz w:val="17"/>
          <w:szCs w:val="17"/>
        </w:rPr>
      </w:pPr>
    </w:p>
    <w:sectPr w:rsidR="008F6C8F" w:rsidRPr="009B43F0" w:rsidSect="001C7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7C" w:rsidRDefault="00DF027C" w:rsidP="004D2374">
      <w:pPr>
        <w:spacing w:after="0" w:line="240" w:lineRule="auto"/>
      </w:pPr>
      <w:r>
        <w:separator/>
      </w:r>
    </w:p>
  </w:endnote>
  <w:endnote w:type="continuationSeparator" w:id="0">
    <w:p w:rsidR="00DF027C" w:rsidRDefault="00DF027C" w:rsidP="004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4" w:rsidRDefault="004D2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4" w:rsidRDefault="004D2374">
    <w:pPr>
      <w:pStyle w:val="Footer"/>
    </w:pPr>
    <w:r>
      <w:t xml:space="preserve">2015-2016 Learning Assessment Committee Members:  Co-Chairs Rebecca Bailey &amp; Heather </w:t>
    </w:r>
    <w:proofErr w:type="spellStart"/>
    <w:r>
      <w:t>Sisneros</w:t>
    </w:r>
    <w:proofErr w:type="spellEnd"/>
    <w:r>
      <w:t xml:space="preserve">, </w:t>
    </w:r>
    <w:proofErr w:type="spellStart"/>
    <w:r>
      <w:t>Cheli</w:t>
    </w:r>
    <w:proofErr w:type="spellEnd"/>
    <w:r>
      <w:t xml:space="preserve"> </w:t>
    </w:r>
    <w:proofErr w:type="spellStart"/>
    <w:r>
      <w:t>Fossum</w:t>
    </w:r>
    <w:proofErr w:type="spellEnd"/>
    <w:r>
      <w:t xml:space="preserve">, David Mitchell, </w:t>
    </w:r>
    <w:r w:rsidR="00B26029">
      <w:t>&lt;</w:t>
    </w:r>
    <w:r>
      <w:t xml:space="preserve">Karolyn van </w:t>
    </w:r>
    <w:proofErr w:type="spellStart"/>
    <w:r>
      <w:t>Putten</w:t>
    </w:r>
    <w:proofErr w:type="spellEnd"/>
    <w:r w:rsidR="00B26029">
      <w:t>&gt;</w:t>
    </w:r>
    <w:r w:rsidR="007A5819">
      <w:t>, Eve</w:t>
    </w:r>
    <w:r>
      <w:t xml:space="preserve">lyn Lord, </w:t>
    </w:r>
    <w:r w:rsidR="00B26029">
      <w:t>&lt;</w:t>
    </w:r>
    <w:r>
      <w:t>Ann McMurdo</w:t>
    </w:r>
    <w:r w:rsidR="00B26029">
      <w:t>&gt;</w:t>
    </w:r>
    <w:r>
      <w:t xml:space="preserve">, Chelsea Cohen, Adrienne Oliver, Dr. </w:t>
    </w:r>
    <w:r w:rsidR="00B26029">
      <w:t xml:space="preserve">Chan, </w:t>
    </w:r>
    <w:proofErr w:type="spellStart"/>
    <w:r w:rsidR="00B26029">
      <w:t>Vina</w:t>
    </w:r>
    <w:proofErr w:type="spellEnd"/>
    <w:r w:rsidR="00B26029">
      <w:t xml:space="preserve"> </w:t>
    </w:r>
    <w:proofErr w:type="spellStart"/>
    <w:r w:rsidR="00B26029">
      <w:t>Cera</w:t>
    </w:r>
    <w:proofErr w:type="spellEnd"/>
    <w:r>
      <w:t xml:space="preserve">, </w:t>
    </w:r>
    <w:r w:rsidR="00B26029">
      <w:t>&lt;</w:t>
    </w:r>
    <w:r>
      <w:t>Kathy Williams</w:t>
    </w:r>
    <w:r w:rsidR="00B26029">
      <w:t>&gt;, &lt;student rep&gt;</w:t>
    </w:r>
  </w:p>
  <w:p w:rsidR="004D2374" w:rsidRDefault="004D2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4" w:rsidRDefault="004D2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7C" w:rsidRDefault="00DF027C" w:rsidP="004D2374">
      <w:pPr>
        <w:spacing w:after="0" w:line="240" w:lineRule="auto"/>
      </w:pPr>
      <w:r>
        <w:separator/>
      </w:r>
    </w:p>
  </w:footnote>
  <w:footnote w:type="continuationSeparator" w:id="0">
    <w:p w:rsidR="00DF027C" w:rsidRDefault="00DF027C" w:rsidP="004D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4" w:rsidRDefault="004D2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4" w:rsidRDefault="004D2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4" w:rsidRDefault="004D2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FA7"/>
    <w:multiLevelType w:val="hybridMultilevel"/>
    <w:tmpl w:val="187C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85D"/>
    <w:multiLevelType w:val="hybridMultilevel"/>
    <w:tmpl w:val="01D8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4C7"/>
    <w:multiLevelType w:val="hybridMultilevel"/>
    <w:tmpl w:val="9B9C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0990"/>
    <w:multiLevelType w:val="hybridMultilevel"/>
    <w:tmpl w:val="8B6E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4AF3"/>
    <w:multiLevelType w:val="hybridMultilevel"/>
    <w:tmpl w:val="19DC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576A4"/>
    <w:multiLevelType w:val="hybridMultilevel"/>
    <w:tmpl w:val="763A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F4632"/>
    <w:multiLevelType w:val="hybridMultilevel"/>
    <w:tmpl w:val="54AA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A089D"/>
    <w:rsid w:val="001C7C1B"/>
    <w:rsid w:val="002032F5"/>
    <w:rsid w:val="00214B3D"/>
    <w:rsid w:val="002E6273"/>
    <w:rsid w:val="003A40B6"/>
    <w:rsid w:val="003E494E"/>
    <w:rsid w:val="003F65C3"/>
    <w:rsid w:val="004D2374"/>
    <w:rsid w:val="004F78AA"/>
    <w:rsid w:val="006640B5"/>
    <w:rsid w:val="00764007"/>
    <w:rsid w:val="00772DBD"/>
    <w:rsid w:val="007A5819"/>
    <w:rsid w:val="008601A5"/>
    <w:rsid w:val="008F6C8F"/>
    <w:rsid w:val="00952FDF"/>
    <w:rsid w:val="00957582"/>
    <w:rsid w:val="00980175"/>
    <w:rsid w:val="00985360"/>
    <w:rsid w:val="00985395"/>
    <w:rsid w:val="00997FA7"/>
    <w:rsid w:val="009B43F0"/>
    <w:rsid w:val="009D2607"/>
    <w:rsid w:val="00A8147C"/>
    <w:rsid w:val="00AA4F86"/>
    <w:rsid w:val="00B242BE"/>
    <w:rsid w:val="00B26029"/>
    <w:rsid w:val="00BD5440"/>
    <w:rsid w:val="00C47410"/>
    <w:rsid w:val="00CC40AE"/>
    <w:rsid w:val="00CE6FCA"/>
    <w:rsid w:val="00D37DA5"/>
    <w:rsid w:val="00D74CD0"/>
    <w:rsid w:val="00DA4B6B"/>
    <w:rsid w:val="00DF027C"/>
    <w:rsid w:val="00E96D67"/>
    <w:rsid w:val="00F140D0"/>
    <w:rsid w:val="00FB4471"/>
    <w:rsid w:val="00FE2EEC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3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4"/>
  </w:style>
  <w:style w:type="paragraph" w:styleId="Footer">
    <w:name w:val="footer"/>
    <w:basedOn w:val="Normal"/>
    <w:link w:val="FooterChar"/>
    <w:uiPriority w:val="99"/>
    <w:unhideWhenUsed/>
    <w:rsid w:val="004D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4"/>
  </w:style>
  <w:style w:type="paragraph" w:styleId="BalloonText">
    <w:name w:val="Balloon Text"/>
    <w:basedOn w:val="Normal"/>
    <w:link w:val="BalloonTextChar"/>
    <w:uiPriority w:val="99"/>
    <w:semiHidden/>
    <w:unhideWhenUsed/>
    <w:rsid w:val="004D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3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4"/>
  </w:style>
  <w:style w:type="paragraph" w:styleId="Footer">
    <w:name w:val="footer"/>
    <w:basedOn w:val="Normal"/>
    <w:link w:val="FooterChar"/>
    <w:uiPriority w:val="99"/>
    <w:unhideWhenUsed/>
    <w:rsid w:val="004D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4"/>
  </w:style>
  <w:style w:type="paragraph" w:styleId="BalloonText">
    <w:name w:val="Balloon Text"/>
    <w:basedOn w:val="Normal"/>
    <w:link w:val="BalloonTextChar"/>
    <w:uiPriority w:val="99"/>
    <w:semiHidden/>
    <w:unhideWhenUsed/>
    <w:rsid w:val="004D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Sisneros</dc:creator>
  <cp:lastModifiedBy>Heather Sisneros</cp:lastModifiedBy>
  <cp:revision>4</cp:revision>
  <dcterms:created xsi:type="dcterms:W3CDTF">2015-11-19T05:31:00Z</dcterms:created>
  <dcterms:modified xsi:type="dcterms:W3CDTF">2016-03-10T01:59:00Z</dcterms:modified>
</cp:coreProperties>
</file>