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BCEB3A" w14:textId="77777777" w:rsidR="003652A0" w:rsidRPr="00637858" w:rsidRDefault="001C7C1B" w:rsidP="003652A0">
      <w:pPr>
        <w:pStyle w:val="Default"/>
        <w:jc w:val="center"/>
        <w:rPr>
          <w:b/>
        </w:rPr>
      </w:pPr>
      <w:r w:rsidRPr="00637858">
        <w:rPr>
          <w:b/>
        </w:rPr>
        <w:t>Laney College Learn</w:t>
      </w:r>
      <w:r w:rsidR="006B5FA4" w:rsidRPr="00637858">
        <w:rPr>
          <w:b/>
        </w:rPr>
        <w:t>ing Assessment Committee Agenda</w:t>
      </w:r>
    </w:p>
    <w:p w14:paraId="42E8D16C" w14:textId="6326868B" w:rsidR="003652A0" w:rsidRPr="00637858" w:rsidRDefault="00243A0A" w:rsidP="003652A0">
      <w:pPr>
        <w:pStyle w:val="Default"/>
        <w:jc w:val="center"/>
        <w:rPr>
          <w:b/>
          <w:color w:val="FF0000"/>
        </w:rPr>
      </w:pPr>
      <w:r>
        <w:rPr>
          <w:b/>
          <w:color w:val="FF0000"/>
        </w:rPr>
        <w:t xml:space="preserve">DRAFT MINUTES - </w:t>
      </w:r>
      <w:r w:rsidR="001C1467" w:rsidRPr="00637858">
        <w:rPr>
          <w:b/>
          <w:color w:val="FF0000"/>
        </w:rPr>
        <w:t>May</w:t>
      </w:r>
      <w:r w:rsidR="00113719" w:rsidRPr="00637858">
        <w:rPr>
          <w:b/>
          <w:color w:val="FF0000"/>
        </w:rPr>
        <w:t xml:space="preserve"> </w:t>
      </w:r>
      <w:r w:rsidR="00E0336A" w:rsidRPr="00637858">
        <w:rPr>
          <w:b/>
          <w:color w:val="FF0000"/>
        </w:rPr>
        <w:t>26</w:t>
      </w:r>
      <w:r w:rsidR="00ED6C8B" w:rsidRPr="00637858">
        <w:rPr>
          <w:b/>
          <w:color w:val="FF0000"/>
        </w:rPr>
        <w:t>, 2017</w:t>
      </w:r>
      <w:r w:rsidR="003652A0" w:rsidRPr="00637858">
        <w:rPr>
          <w:b/>
          <w:color w:val="FF0000"/>
        </w:rPr>
        <w:t xml:space="preserve"> </w:t>
      </w:r>
    </w:p>
    <w:p w14:paraId="5F4CCD72" w14:textId="56ABCA50" w:rsidR="001C7C1B" w:rsidRPr="00637858" w:rsidRDefault="001C1467" w:rsidP="003652A0">
      <w:pPr>
        <w:pStyle w:val="Default"/>
        <w:jc w:val="center"/>
        <w:rPr>
          <w:b/>
        </w:rPr>
      </w:pPr>
      <w:r w:rsidRPr="00637858">
        <w:rPr>
          <w:b/>
        </w:rPr>
        <w:t>11:30am-1:0</w:t>
      </w:r>
      <w:r w:rsidR="00E0336A" w:rsidRPr="00637858">
        <w:rPr>
          <w:b/>
        </w:rPr>
        <w:t>0pm, T-801</w:t>
      </w:r>
    </w:p>
    <w:p w14:paraId="3FD44399" w14:textId="77777777" w:rsidR="000D08FF" w:rsidRPr="00637858" w:rsidRDefault="000D08FF" w:rsidP="003652A0">
      <w:pPr>
        <w:pStyle w:val="Default"/>
        <w:jc w:val="center"/>
        <w:rPr>
          <w:b/>
        </w:rPr>
      </w:pPr>
    </w:p>
    <w:p w14:paraId="21E453BF" w14:textId="1F5A0B07" w:rsidR="00ED3C69" w:rsidRPr="00637858" w:rsidRDefault="004C48F3" w:rsidP="00ED3C69">
      <w:pPr>
        <w:spacing w:after="0" w:line="240" w:lineRule="auto"/>
        <w:jc w:val="center"/>
        <w:rPr>
          <w:rFonts w:ascii="Verdana" w:eastAsia="Times New Roman" w:hAnsi="Verdana" w:cs="Arial"/>
          <w:b/>
          <w:sz w:val="16"/>
          <w:szCs w:val="16"/>
        </w:rPr>
      </w:pPr>
      <w:r w:rsidRPr="00637858">
        <w:rPr>
          <w:rFonts w:ascii="Verdana" w:eastAsia="Times New Roman" w:hAnsi="Verdana" w:cs="Arial"/>
          <w:b/>
          <w:sz w:val="16"/>
          <w:szCs w:val="16"/>
        </w:rPr>
        <w:t>LAC Membership 2016/17</w:t>
      </w:r>
    </w:p>
    <w:tbl>
      <w:tblPr>
        <w:tblStyle w:val="TableGrid"/>
        <w:tblW w:w="11123" w:type="dxa"/>
        <w:tblInd w:w="955" w:type="dxa"/>
        <w:tblLayout w:type="fixed"/>
        <w:tblLook w:val="04A0" w:firstRow="1" w:lastRow="0" w:firstColumn="1" w:lastColumn="0" w:noHBand="0" w:noVBand="1"/>
      </w:tblPr>
      <w:tblGrid>
        <w:gridCol w:w="2753"/>
        <w:gridCol w:w="2610"/>
        <w:gridCol w:w="270"/>
        <w:gridCol w:w="3060"/>
        <w:gridCol w:w="2430"/>
      </w:tblGrid>
      <w:tr w:rsidR="000D08FF" w:rsidRPr="00637858" w14:paraId="3EFB8588" w14:textId="77777777" w:rsidTr="000D08FF">
        <w:tc>
          <w:tcPr>
            <w:tcW w:w="2753" w:type="dxa"/>
          </w:tcPr>
          <w:p w14:paraId="4F6D8447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English</w:t>
            </w:r>
          </w:p>
        </w:tc>
        <w:tc>
          <w:tcPr>
            <w:tcW w:w="2610" w:type="dxa"/>
          </w:tcPr>
          <w:p w14:paraId="22DFE333" w14:textId="12FF72CF" w:rsidR="000D08FF" w:rsidRPr="00637858" w:rsidRDefault="00F10A1E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 xml:space="preserve">Ian </w:t>
            </w:r>
            <w:proofErr w:type="spellStart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Latta</w:t>
            </w:r>
            <w:proofErr w:type="spellEnd"/>
          </w:p>
        </w:tc>
        <w:tc>
          <w:tcPr>
            <w:tcW w:w="270" w:type="dxa"/>
            <w:vMerge w:val="restart"/>
            <w:shd w:val="clear" w:color="auto" w:fill="D6E3BC" w:themeFill="accent3" w:themeFillTint="66"/>
          </w:tcPr>
          <w:p w14:paraId="021BD11B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 w:val="restart"/>
          </w:tcPr>
          <w:p w14:paraId="0031A76B" w14:textId="2BCB8912" w:rsidR="000D08FF" w:rsidRPr="00637858" w:rsidRDefault="00F45267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At</w:t>
            </w:r>
            <w:r w:rsidR="000D08FF" w:rsidRPr="00637858">
              <w:rPr>
                <w:rFonts w:ascii="Verdana" w:eastAsia="Times New Roman" w:hAnsi="Verdana" w:cs="Arial"/>
                <w:sz w:val="16"/>
                <w:szCs w:val="16"/>
              </w:rPr>
              <w:t>-Large</w:t>
            </w:r>
          </w:p>
        </w:tc>
        <w:tc>
          <w:tcPr>
            <w:tcW w:w="2430" w:type="dxa"/>
          </w:tcPr>
          <w:p w14:paraId="209CEB4C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Rebecca Bailey (Science)</w:t>
            </w:r>
          </w:p>
        </w:tc>
      </w:tr>
      <w:tr w:rsidR="000D08FF" w:rsidRPr="00637858" w14:paraId="7458C9A4" w14:textId="77777777" w:rsidTr="000D08FF">
        <w:tc>
          <w:tcPr>
            <w:tcW w:w="2753" w:type="dxa"/>
          </w:tcPr>
          <w:p w14:paraId="523E7CFF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ESOL</w:t>
            </w:r>
          </w:p>
        </w:tc>
        <w:tc>
          <w:tcPr>
            <w:tcW w:w="2610" w:type="dxa"/>
          </w:tcPr>
          <w:p w14:paraId="4B8190A7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David Mitchell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44973A9F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78B0CB70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14:paraId="1B6B0984" w14:textId="1A3CCC5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 xml:space="preserve">Heather </w:t>
            </w:r>
            <w:proofErr w:type="spellStart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Sisneros</w:t>
            </w:r>
            <w:proofErr w:type="spellEnd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 xml:space="preserve"> (</w:t>
            </w:r>
            <w:proofErr w:type="spellStart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Kines</w:t>
            </w:r>
            <w:proofErr w:type="spellEnd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)</w:t>
            </w:r>
          </w:p>
        </w:tc>
      </w:tr>
      <w:tr w:rsidR="000D08FF" w:rsidRPr="00637858" w14:paraId="642DC2E4" w14:textId="77777777" w:rsidTr="000D08FF">
        <w:tc>
          <w:tcPr>
            <w:tcW w:w="2753" w:type="dxa"/>
          </w:tcPr>
          <w:p w14:paraId="0D3C9DBB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Math</w:t>
            </w:r>
          </w:p>
        </w:tc>
        <w:tc>
          <w:tcPr>
            <w:tcW w:w="2610" w:type="dxa"/>
          </w:tcPr>
          <w:p w14:paraId="4A96568F" w14:textId="7DB8A91F" w:rsidR="000D08FF" w:rsidRPr="00637858" w:rsidRDefault="00E0336A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vacant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04838EC9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46095889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14:paraId="768840E0" w14:textId="6CAEEAFC" w:rsidR="000D08FF" w:rsidRPr="00637858" w:rsidRDefault="00C16A69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 xml:space="preserve">Anna </w:t>
            </w:r>
            <w:proofErr w:type="spellStart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Cortesio</w:t>
            </w:r>
            <w:proofErr w:type="spellEnd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 xml:space="preserve"> (ESOL)</w:t>
            </w:r>
          </w:p>
        </w:tc>
      </w:tr>
      <w:tr w:rsidR="000D08FF" w:rsidRPr="00637858" w14:paraId="04142F0E" w14:textId="77777777" w:rsidTr="000D08FF">
        <w:tc>
          <w:tcPr>
            <w:tcW w:w="2753" w:type="dxa"/>
          </w:tcPr>
          <w:p w14:paraId="4A9A85DC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CTE</w:t>
            </w:r>
          </w:p>
        </w:tc>
        <w:tc>
          <w:tcPr>
            <w:tcW w:w="2610" w:type="dxa"/>
          </w:tcPr>
          <w:p w14:paraId="2BA2F5A4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Vina</w:t>
            </w:r>
            <w:proofErr w:type="spellEnd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Cera</w:t>
            </w:r>
            <w:proofErr w:type="spellEnd"/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25B66068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vMerge/>
          </w:tcPr>
          <w:p w14:paraId="609D48BA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</w:tcPr>
          <w:p w14:paraId="367365C6" w14:textId="0D79A7EE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 xml:space="preserve">Fan </w:t>
            </w:r>
            <w:r w:rsidR="00C16A69" w:rsidRPr="00637858">
              <w:rPr>
                <w:rFonts w:ascii="Verdana" w:eastAsia="Times New Roman" w:hAnsi="Verdana" w:cs="Arial"/>
                <w:sz w:val="16"/>
                <w:szCs w:val="16"/>
              </w:rPr>
              <w:t xml:space="preserve">Lee </w:t>
            </w: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Warren</w:t>
            </w:r>
          </w:p>
        </w:tc>
      </w:tr>
      <w:tr w:rsidR="000D08FF" w:rsidRPr="00637858" w14:paraId="2513F925" w14:textId="77777777" w:rsidTr="000D08FF">
        <w:tc>
          <w:tcPr>
            <w:tcW w:w="2753" w:type="dxa"/>
          </w:tcPr>
          <w:p w14:paraId="155DE290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Library</w:t>
            </w:r>
          </w:p>
        </w:tc>
        <w:tc>
          <w:tcPr>
            <w:tcW w:w="2610" w:type="dxa"/>
          </w:tcPr>
          <w:p w14:paraId="4206F090" w14:textId="5C41E9C1" w:rsidR="000D08FF" w:rsidRPr="00637858" w:rsidRDefault="00BB32D8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i/>
                <w:sz w:val="16"/>
                <w:szCs w:val="16"/>
              </w:rPr>
              <w:t>vacant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1F47A187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1A0C6A06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VP of Student Services or designee</w:t>
            </w:r>
          </w:p>
        </w:tc>
        <w:tc>
          <w:tcPr>
            <w:tcW w:w="2430" w:type="dxa"/>
          </w:tcPr>
          <w:p w14:paraId="28B0E37D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Cassandra Upshaw</w:t>
            </w:r>
          </w:p>
        </w:tc>
      </w:tr>
      <w:tr w:rsidR="000D08FF" w:rsidRPr="00637858" w14:paraId="67B3923A" w14:textId="77777777" w:rsidTr="000D08FF">
        <w:tc>
          <w:tcPr>
            <w:tcW w:w="2753" w:type="dxa"/>
          </w:tcPr>
          <w:p w14:paraId="0A49C5E7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Counseling</w:t>
            </w:r>
          </w:p>
        </w:tc>
        <w:tc>
          <w:tcPr>
            <w:tcW w:w="2610" w:type="dxa"/>
          </w:tcPr>
          <w:p w14:paraId="08DF9526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Terrance Greene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046987DC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</w:tcPr>
          <w:p w14:paraId="5F8DA71C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VP of Instruction or designee</w:t>
            </w:r>
          </w:p>
        </w:tc>
        <w:tc>
          <w:tcPr>
            <w:tcW w:w="2430" w:type="dxa"/>
          </w:tcPr>
          <w:p w14:paraId="2FBFAF44" w14:textId="1CD6BF03" w:rsidR="000D08FF" w:rsidRPr="00637858" w:rsidRDefault="00BB32D8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 xml:space="preserve">Dean Julie </w:t>
            </w:r>
            <w:proofErr w:type="spellStart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Kirgis</w:t>
            </w:r>
            <w:proofErr w:type="spellEnd"/>
          </w:p>
        </w:tc>
      </w:tr>
      <w:tr w:rsidR="000D08FF" w:rsidRPr="00637858" w14:paraId="7F421B2E" w14:textId="77777777" w:rsidTr="001F32FB">
        <w:tc>
          <w:tcPr>
            <w:tcW w:w="2753" w:type="dxa"/>
          </w:tcPr>
          <w:p w14:paraId="6EFDA2B2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Business/Science</w:t>
            </w:r>
          </w:p>
        </w:tc>
        <w:tc>
          <w:tcPr>
            <w:tcW w:w="2610" w:type="dxa"/>
          </w:tcPr>
          <w:p w14:paraId="1B5198DA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proofErr w:type="spellStart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Cheli</w:t>
            </w:r>
            <w:proofErr w:type="spellEnd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 xml:space="preserve"> </w:t>
            </w:r>
            <w:proofErr w:type="spellStart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Fossum</w:t>
            </w:r>
            <w:proofErr w:type="spellEnd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 xml:space="preserve"> (Science)</w:t>
            </w:r>
          </w:p>
        </w:tc>
        <w:tc>
          <w:tcPr>
            <w:tcW w:w="270" w:type="dxa"/>
            <w:vMerge/>
            <w:shd w:val="clear" w:color="auto" w:fill="D6E3BC" w:themeFill="accent3" w:themeFillTint="66"/>
          </w:tcPr>
          <w:p w14:paraId="24619134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bottom w:val="single" w:sz="4" w:space="0" w:color="auto"/>
            </w:tcBorders>
          </w:tcPr>
          <w:p w14:paraId="4E0C3F99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Student Representative</w:t>
            </w:r>
          </w:p>
        </w:tc>
        <w:tc>
          <w:tcPr>
            <w:tcW w:w="2430" w:type="dxa"/>
            <w:tcBorders>
              <w:bottom w:val="single" w:sz="4" w:space="0" w:color="auto"/>
            </w:tcBorders>
          </w:tcPr>
          <w:p w14:paraId="18CCAE29" w14:textId="77777777" w:rsidR="000D08FF" w:rsidRPr="00637858" w:rsidRDefault="000D08FF" w:rsidP="00BE565C">
            <w:pPr>
              <w:rPr>
                <w:rFonts w:ascii="Verdana" w:eastAsia="Times New Roman" w:hAnsi="Verdana" w:cs="Arial"/>
                <w:i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i/>
                <w:sz w:val="16"/>
                <w:szCs w:val="16"/>
              </w:rPr>
              <w:t>Vacant</w:t>
            </w:r>
          </w:p>
        </w:tc>
      </w:tr>
      <w:tr w:rsidR="000D08FF" w:rsidRPr="00637858" w14:paraId="773145B2" w14:textId="77777777" w:rsidTr="001F32FB">
        <w:tc>
          <w:tcPr>
            <w:tcW w:w="2753" w:type="dxa"/>
          </w:tcPr>
          <w:p w14:paraId="2619AE12" w14:textId="56EBD490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Humanities/</w:t>
            </w:r>
            <w:proofErr w:type="spellStart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SocSci</w:t>
            </w:r>
            <w:proofErr w:type="spellEnd"/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/Kinesiology</w:t>
            </w:r>
          </w:p>
        </w:tc>
        <w:tc>
          <w:tcPr>
            <w:tcW w:w="2610" w:type="dxa"/>
          </w:tcPr>
          <w:p w14:paraId="6DFB2DFF" w14:textId="0FE00E0E" w:rsidR="000D08FF" w:rsidRPr="00637858" w:rsidRDefault="00113719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  <w:r w:rsidRPr="00637858">
              <w:rPr>
                <w:rFonts w:ascii="Verdana" w:eastAsia="Times New Roman" w:hAnsi="Verdana" w:cs="Arial"/>
                <w:sz w:val="16"/>
                <w:szCs w:val="16"/>
              </w:rPr>
              <w:t>Scott Godfrey</w:t>
            </w:r>
            <w:r w:rsidR="000D08FF" w:rsidRPr="00637858">
              <w:rPr>
                <w:rFonts w:ascii="Verdana" w:eastAsia="Times New Roman" w:hAnsi="Verdana" w:cs="Arial"/>
                <w:sz w:val="16"/>
                <w:szCs w:val="16"/>
              </w:rPr>
              <w:t xml:space="preserve"> (Hum/</w:t>
            </w:r>
            <w:proofErr w:type="spellStart"/>
            <w:r w:rsidR="000D08FF" w:rsidRPr="00637858">
              <w:rPr>
                <w:rFonts w:ascii="Verdana" w:eastAsia="Times New Roman" w:hAnsi="Verdana" w:cs="Arial"/>
                <w:sz w:val="16"/>
                <w:szCs w:val="16"/>
              </w:rPr>
              <w:t>SocSci</w:t>
            </w:r>
            <w:proofErr w:type="spellEnd"/>
            <w:r w:rsidR="000D08FF" w:rsidRPr="00637858">
              <w:rPr>
                <w:rFonts w:ascii="Verdana" w:eastAsia="Times New Roman" w:hAnsi="Verdana" w:cs="Arial"/>
                <w:sz w:val="16"/>
                <w:szCs w:val="16"/>
              </w:rPr>
              <w:t>)</w:t>
            </w:r>
          </w:p>
        </w:tc>
        <w:tc>
          <w:tcPr>
            <w:tcW w:w="270" w:type="dxa"/>
            <w:vMerge/>
            <w:tcBorders>
              <w:right w:val="single" w:sz="4" w:space="0" w:color="auto"/>
            </w:tcBorders>
            <w:shd w:val="clear" w:color="auto" w:fill="D6E3BC" w:themeFill="accent3" w:themeFillTint="66"/>
          </w:tcPr>
          <w:p w14:paraId="5820893F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733E083B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  <w:tc>
          <w:tcPr>
            <w:tcW w:w="24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D6FDAFE" w14:textId="77777777" w:rsidR="000D08FF" w:rsidRPr="00637858" w:rsidRDefault="000D08FF" w:rsidP="00BE565C">
            <w:pPr>
              <w:rPr>
                <w:rFonts w:ascii="Verdana" w:eastAsia="Times New Roman" w:hAnsi="Verdana" w:cs="Arial"/>
                <w:sz w:val="16"/>
                <w:szCs w:val="16"/>
              </w:rPr>
            </w:pPr>
          </w:p>
        </w:tc>
      </w:tr>
    </w:tbl>
    <w:p w14:paraId="5FD2F5C8" w14:textId="77777777" w:rsidR="00607B1B" w:rsidRPr="00637858" w:rsidRDefault="00607B1B" w:rsidP="003652A0">
      <w:pPr>
        <w:pStyle w:val="Default"/>
        <w:jc w:val="center"/>
        <w:rPr>
          <w:sz w:val="16"/>
          <w:szCs w:val="16"/>
        </w:rPr>
      </w:pPr>
    </w:p>
    <w:tbl>
      <w:tblPr>
        <w:tblW w:w="1459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8"/>
        <w:gridCol w:w="1350"/>
        <w:gridCol w:w="8910"/>
        <w:gridCol w:w="900"/>
        <w:gridCol w:w="3150"/>
      </w:tblGrid>
      <w:tr w:rsidR="001C7C1B" w:rsidRPr="00637858" w14:paraId="32286E9E" w14:textId="77777777" w:rsidTr="007145E3">
        <w:trPr>
          <w:trHeight w:val="117"/>
        </w:trPr>
        <w:tc>
          <w:tcPr>
            <w:tcW w:w="16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20727059" w14:textId="77777777" w:rsidR="001C7C1B" w:rsidRPr="00637858" w:rsidRDefault="001C7C1B">
            <w:pPr>
              <w:pStyle w:val="Default"/>
              <w:rPr>
                <w:sz w:val="17"/>
                <w:szCs w:val="17"/>
              </w:rPr>
            </w:pPr>
            <w:r w:rsidRPr="00637858">
              <w:rPr>
                <w:sz w:val="17"/>
                <w:szCs w:val="17"/>
              </w:rPr>
              <w:t xml:space="preserve"> </w:t>
            </w:r>
            <w:r w:rsidRPr="00637858">
              <w:rPr>
                <w:b/>
                <w:bCs/>
                <w:sz w:val="17"/>
                <w:szCs w:val="17"/>
              </w:rPr>
              <w:t>ITEM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614CC951" w14:textId="77777777" w:rsidR="001C7C1B" w:rsidRPr="00637858" w:rsidRDefault="001C7C1B">
            <w:pPr>
              <w:pStyle w:val="Default"/>
              <w:rPr>
                <w:sz w:val="17"/>
                <w:szCs w:val="17"/>
              </w:rPr>
            </w:pPr>
            <w:r w:rsidRPr="00637858">
              <w:rPr>
                <w:b/>
                <w:bCs/>
                <w:sz w:val="17"/>
                <w:szCs w:val="17"/>
              </w:rPr>
              <w:t>DESCRIPTION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59D41119" w14:textId="77777777" w:rsidR="001C7C1B" w:rsidRPr="00637858" w:rsidRDefault="001C7C1B">
            <w:pPr>
              <w:pStyle w:val="Default"/>
              <w:rPr>
                <w:sz w:val="17"/>
                <w:szCs w:val="17"/>
              </w:rPr>
            </w:pPr>
            <w:r w:rsidRPr="00637858">
              <w:rPr>
                <w:b/>
                <w:bCs/>
                <w:sz w:val="17"/>
                <w:szCs w:val="17"/>
              </w:rPr>
              <w:t>Time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4"/>
          </w:tcPr>
          <w:p w14:paraId="37A0E2C5" w14:textId="77777777" w:rsidR="001C7C1B" w:rsidRPr="00637858" w:rsidRDefault="001C7C1B" w:rsidP="001C7C1B">
            <w:pPr>
              <w:pStyle w:val="Default"/>
              <w:ind w:right="953"/>
              <w:rPr>
                <w:sz w:val="17"/>
                <w:szCs w:val="17"/>
              </w:rPr>
            </w:pPr>
            <w:r w:rsidRPr="00637858">
              <w:rPr>
                <w:b/>
                <w:bCs/>
                <w:sz w:val="17"/>
                <w:szCs w:val="17"/>
              </w:rPr>
              <w:t>TODAY'S ACTION(S)</w:t>
            </w:r>
          </w:p>
        </w:tc>
      </w:tr>
      <w:tr w:rsidR="001C7C1B" w:rsidRPr="00637858" w14:paraId="2BC74D29" w14:textId="77777777" w:rsidTr="007145E3">
        <w:trPr>
          <w:trHeight w:val="22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4286F13" w14:textId="77777777" w:rsidR="001C7C1B" w:rsidRPr="00637858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3A1747" w14:textId="77777777" w:rsidR="001C7C1B" w:rsidRPr="00637858" w:rsidRDefault="00E221F2">
            <w:pPr>
              <w:pStyle w:val="Default"/>
              <w:rPr>
                <w:sz w:val="17"/>
                <w:szCs w:val="17"/>
              </w:rPr>
            </w:pPr>
            <w:r w:rsidRPr="00637858">
              <w:rPr>
                <w:sz w:val="17"/>
                <w:szCs w:val="17"/>
              </w:rPr>
              <w:t>Sign-in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BBD70" w14:textId="1ADCE872" w:rsidR="001C7C1B" w:rsidRPr="00637858" w:rsidRDefault="002A075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Ian </w:t>
            </w:r>
            <w:proofErr w:type="spellStart"/>
            <w:r>
              <w:rPr>
                <w:sz w:val="17"/>
                <w:szCs w:val="17"/>
              </w:rPr>
              <w:t>Latta</w:t>
            </w:r>
            <w:proofErr w:type="spellEnd"/>
            <w:r>
              <w:rPr>
                <w:sz w:val="17"/>
                <w:szCs w:val="17"/>
              </w:rPr>
              <w:t xml:space="preserve">, David </w:t>
            </w:r>
            <w:proofErr w:type="spellStart"/>
            <w:r>
              <w:rPr>
                <w:sz w:val="17"/>
                <w:szCs w:val="17"/>
              </w:rPr>
              <w:t>Mithcell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Vina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Cera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  <w:proofErr w:type="spellStart"/>
            <w:r>
              <w:rPr>
                <w:sz w:val="17"/>
                <w:szCs w:val="17"/>
              </w:rPr>
              <w:t>Cheli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>
              <w:rPr>
                <w:sz w:val="17"/>
                <w:szCs w:val="17"/>
              </w:rPr>
              <w:t>Fossum</w:t>
            </w:r>
            <w:proofErr w:type="spellEnd"/>
            <w:r>
              <w:rPr>
                <w:sz w:val="17"/>
                <w:szCs w:val="17"/>
              </w:rPr>
              <w:t xml:space="preserve">, Rebecca Bailey, Heather </w:t>
            </w:r>
            <w:proofErr w:type="spellStart"/>
            <w:r>
              <w:rPr>
                <w:sz w:val="17"/>
                <w:szCs w:val="17"/>
              </w:rPr>
              <w:t>Sisneros</w:t>
            </w:r>
            <w:proofErr w:type="spellEnd"/>
            <w:r>
              <w:rPr>
                <w:sz w:val="17"/>
                <w:szCs w:val="17"/>
              </w:rPr>
              <w:t xml:space="preserve">, Anna </w:t>
            </w:r>
            <w:proofErr w:type="spellStart"/>
            <w:r>
              <w:rPr>
                <w:sz w:val="17"/>
                <w:szCs w:val="17"/>
              </w:rPr>
              <w:t>Cortesio</w:t>
            </w:r>
            <w:proofErr w:type="spellEnd"/>
            <w:r>
              <w:rPr>
                <w:sz w:val="17"/>
                <w:szCs w:val="17"/>
              </w:rPr>
              <w:t xml:space="preserve">, 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BF1F78" w14:textId="77777777" w:rsidR="001C7C1B" w:rsidRPr="00637858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717C2" w14:textId="77777777" w:rsidR="001C7C1B" w:rsidRPr="00637858" w:rsidRDefault="001C7C1B">
            <w:pPr>
              <w:pStyle w:val="Default"/>
              <w:rPr>
                <w:sz w:val="17"/>
                <w:szCs w:val="17"/>
              </w:rPr>
            </w:pPr>
          </w:p>
        </w:tc>
      </w:tr>
      <w:tr w:rsidR="003652A0" w:rsidRPr="00637858" w14:paraId="0BEBD0BE" w14:textId="77777777" w:rsidTr="007145E3">
        <w:trPr>
          <w:trHeight w:val="22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28F3F6" w14:textId="77777777" w:rsidR="003652A0" w:rsidRPr="00637858" w:rsidRDefault="003652A0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23EE52" w14:textId="70B3CFE7" w:rsidR="003652A0" w:rsidRPr="00637858" w:rsidRDefault="003652A0">
            <w:pPr>
              <w:pStyle w:val="Default"/>
              <w:rPr>
                <w:sz w:val="17"/>
                <w:szCs w:val="17"/>
              </w:rPr>
            </w:pPr>
            <w:r w:rsidRPr="00637858">
              <w:rPr>
                <w:sz w:val="17"/>
                <w:szCs w:val="17"/>
              </w:rPr>
              <w:t>Public Comment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7AA458" w14:textId="77777777" w:rsidR="003652A0" w:rsidRPr="00637858" w:rsidRDefault="003652A0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FF94AB" w14:textId="25A1EF64" w:rsidR="003652A0" w:rsidRPr="00637858" w:rsidRDefault="00637858">
            <w:pPr>
              <w:pStyle w:val="Default"/>
              <w:rPr>
                <w:sz w:val="17"/>
                <w:szCs w:val="17"/>
              </w:rPr>
            </w:pPr>
            <w:r w:rsidRPr="00637858">
              <w:rPr>
                <w:sz w:val="17"/>
                <w:szCs w:val="17"/>
              </w:rPr>
              <w:t>11:00-11:05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F72FA7" w14:textId="77777777" w:rsidR="003652A0" w:rsidRPr="00637858" w:rsidRDefault="003652A0">
            <w:pPr>
              <w:pStyle w:val="Default"/>
              <w:rPr>
                <w:sz w:val="17"/>
                <w:szCs w:val="17"/>
              </w:rPr>
            </w:pPr>
          </w:p>
        </w:tc>
      </w:tr>
      <w:tr w:rsidR="001C7C1B" w:rsidRPr="00637858" w14:paraId="75A53B12" w14:textId="77777777" w:rsidTr="007145E3">
        <w:trPr>
          <w:trHeight w:val="22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7F603" w14:textId="77777777" w:rsidR="001C7C1B" w:rsidRPr="00637858" w:rsidRDefault="001C7C1B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D59BF2" w14:textId="77777777" w:rsidR="001C7C1B" w:rsidRPr="00637858" w:rsidRDefault="00E221F2">
            <w:pPr>
              <w:pStyle w:val="Default"/>
              <w:rPr>
                <w:sz w:val="17"/>
                <w:szCs w:val="17"/>
              </w:rPr>
            </w:pPr>
            <w:r w:rsidRPr="00637858">
              <w:rPr>
                <w:sz w:val="17"/>
                <w:szCs w:val="17"/>
              </w:rPr>
              <w:t>Approval of Minutes/Meeting notes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D73D26" w14:textId="58DA74E6" w:rsidR="00D420BE" w:rsidRDefault="00766561" w:rsidP="00E0336A">
            <w:pPr>
              <w:pStyle w:val="Default"/>
              <w:rPr>
                <w:sz w:val="17"/>
                <w:szCs w:val="17"/>
              </w:rPr>
            </w:pPr>
            <w:r w:rsidRPr="00637858">
              <w:rPr>
                <w:sz w:val="17"/>
                <w:szCs w:val="17"/>
              </w:rPr>
              <w:t xml:space="preserve">From </w:t>
            </w:r>
            <w:r w:rsidR="00E0336A" w:rsidRPr="00637858">
              <w:rPr>
                <w:sz w:val="17"/>
                <w:szCs w:val="17"/>
              </w:rPr>
              <w:t>5.5.</w:t>
            </w:r>
            <w:r w:rsidR="00710175" w:rsidRPr="00637858">
              <w:rPr>
                <w:sz w:val="17"/>
                <w:szCs w:val="17"/>
              </w:rPr>
              <w:t>1</w:t>
            </w:r>
            <w:r w:rsidR="001C1467" w:rsidRPr="00637858">
              <w:rPr>
                <w:sz w:val="17"/>
                <w:szCs w:val="17"/>
              </w:rPr>
              <w:t>7</w:t>
            </w:r>
          </w:p>
          <w:p w14:paraId="75CC57FF" w14:textId="1E57033C" w:rsidR="00D420BE" w:rsidRPr="00637858" w:rsidRDefault="00D420BE" w:rsidP="00E0336A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B58BD9C" w14:textId="6E0559B1" w:rsidR="001C7C1B" w:rsidRPr="00637858" w:rsidRDefault="00637858">
            <w:pPr>
              <w:pStyle w:val="Default"/>
              <w:rPr>
                <w:sz w:val="17"/>
                <w:szCs w:val="17"/>
              </w:rPr>
            </w:pPr>
            <w:r w:rsidRPr="00637858">
              <w:rPr>
                <w:sz w:val="17"/>
                <w:szCs w:val="17"/>
              </w:rPr>
              <w:t>11:05-11:10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BE1CE" w14:textId="1A3061B5" w:rsidR="002D2D1B" w:rsidRDefault="002D2D1B">
            <w:pPr>
              <w:pStyle w:val="Defaul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Vina</w:t>
            </w:r>
            <w:proofErr w:type="spellEnd"/>
            <w:r>
              <w:rPr>
                <w:sz w:val="17"/>
                <w:szCs w:val="17"/>
              </w:rPr>
              <w:t xml:space="preserve"> </w:t>
            </w:r>
            <w:proofErr w:type="spellStart"/>
            <w:r w:rsidR="00C15EC8">
              <w:rPr>
                <w:sz w:val="17"/>
                <w:szCs w:val="17"/>
              </w:rPr>
              <w:t>Cera</w:t>
            </w:r>
            <w:proofErr w:type="spellEnd"/>
            <w:r w:rsidR="00C15EC8">
              <w:rPr>
                <w:sz w:val="17"/>
                <w:szCs w:val="17"/>
              </w:rPr>
              <w:t xml:space="preserve">: </w:t>
            </w:r>
            <w:r>
              <w:rPr>
                <w:sz w:val="17"/>
                <w:szCs w:val="17"/>
              </w:rPr>
              <w:t>first</w:t>
            </w:r>
          </w:p>
          <w:p w14:paraId="6DACD53D" w14:textId="7002BA1D" w:rsidR="002D2D1B" w:rsidRDefault="002D2D1B">
            <w:pPr>
              <w:pStyle w:val="Defaul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Cheli</w:t>
            </w:r>
            <w:proofErr w:type="spellEnd"/>
            <w:r w:rsidR="00C15EC8">
              <w:rPr>
                <w:sz w:val="17"/>
                <w:szCs w:val="17"/>
              </w:rPr>
              <w:t xml:space="preserve"> </w:t>
            </w:r>
            <w:proofErr w:type="spellStart"/>
            <w:r w:rsidR="00C15EC8">
              <w:rPr>
                <w:sz w:val="17"/>
                <w:szCs w:val="17"/>
              </w:rPr>
              <w:t>Fossum</w:t>
            </w:r>
            <w:proofErr w:type="spellEnd"/>
            <w:r w:rsidR="00C15EC8">
              <w:rPr>
                <w:sz w:val="17"/>
                <w:szCs w:val="17"/>
              </w:rPr>
              <w:t xml:space="preserve">: </w:t>
            </w:r>
            <w:r>
              <w:rPr>
                <w:sz w:val="17"/>
                <w:szCs w:val="17"/>
              </w:rPr>
              <w:t>second</w:t>
            </w:r>
          </w:p>
          <w:p w14:paraId="566ED9C5" w14:textId="4FC380C8" w:rsidR="002D2D1B" w:rsidRPr="00637858" w:rsidRDefault="002D2D1B">
            <w:pPr>
              <w:pStyle w:val="Default"/>
              <w:rPr>
                <w:sz w:val="17"/>
                <w:szCs w:val="17"/>
              </w:rPr>
            </w:pPr>
            <w:proofErr w:type="spellStart"/>
            <w:r>
              <w:rPr>
                <w:sz w:val="17"/>
                <w:szCs w:val="17"/>
              </w:rPr>
              <w:t>unaminou</w:t>
            </w:r>
            <w:r w:rsidR="00C15EC8">
              <w:rPr>
                <w:sz w:val="17"/>
                <w:szCs w:val="17"/>
              </w:rPr>
              <w:t>s</w:t>
            </w:r>
            <w:proofErr w:type="spellEnd"/>
          </w:p>
        </w:tc>
      </w:tr>
      <w:tr w:rsidR="00BE565C" w:rsidRPr="00637858" w14:paraId="60533F07" w14:textId="77777777" w:rsidTr="007145E3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AD3563" w14:textId="781747F8" w:rsidR="00BE565C" w:rsidRPr="00637858" w:rsidRDefault="00BE565C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5F6B9" w14:textId="2745572F" w:rsidR="00E0336A" w:rsidRPr="00637858" w:rsidRDefault="00E0336A">
            <w:pPr>
              <w:pStyle w:val="Default"/>
              <w:rPr>
                <w:sz w:val="17"/>
                <w:szCs w:val="17"/>
              </w:rPr>
            </w:pPr>
            <w:r w:rsidRPr="00637858">
              <w:rPr>
                <w:sz w:val="17"/>
                <w:szCs w:val="17"/>
              </w:rPr>
              <w:t>Review of Survey Evaluation Results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1E1C3B" w14:textId="31E930E7" w:rsidR="00FE6AD8" w:rsidRDefault="00E0336A">
            <w:pPr>
              <w:pStyle w:val="Default"/>
              <w:rPr>
                <w:sz w:val="17"/>
                <w:szCs w:val="17"/>
              </w:rPr>
            </w:pPr>
            <w:r w:rsidRPr="00637858">
              <w:rPr>
                <w:sz w:val="17"/>
                <w:szCs w:val="17"/>
              </w:rPr>
              <w:t>Review and analyze evaluation results</w:t>
            </w:r>
            <w:r w:rsidR="003E11A6">
              <w:rPr>
                <w:sz w:val="17"/>
                <w:szCs w:val="17"/>
              </w:rPr>
              <w:t xml:space="preserve"> and use them to develop goals for the next AY 17-18</w:t>
            </w:r>
          </w:p>
          <w:p w14:paraId="3DBA7C31" w14:textId="69669965" w:rsidR="00C46B0D" w:rsidRDefault="00876FA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The following are evaluation statements that had data points in the “disagree” range…</w:t>
            </w:r>
          </w:p>
          <w:p w14:paraId="723E6E85" w14:textId="77777777" w:rsidR="00C46B0D" w:rsidRPr="00C46B0D" w:rsidRDefault="00C46B0D" w:rsidP="00C46B0D">
            <w:pPr>
              <w:autoSpaceDE w:val="0"/>
              <w:autoSpaceDN w:val="0"/>
              <w:adjustRightInd w:val="0"/>
              <w:spacing w:after="18" w:line="240" w:lineRule="auto"/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C46B0D">
              <w:rPr>
                <w:rFonts w:ascii="Verdana" w:hAnsi="Verdana" w:cs="Calibri"/>
                <w:color w:val="000000"/>
                <w:sz w:val="17"/>
                <w:szCs w:val="17"/>
              </w:rPr>
              <w:t xml:space="preserve">4. Members understand the College's decision-making processes as it relates to the work of the committee. </w:t>
            </w:r>
          </w:p>
          <w:p w14:paraId="6022E44B" w14:textId="77777777" w:rsidR="00C46B0D" w:rsidRPr="00C46B0D" w:rsidRDefault="00C46B0D" w:rsidP="00C46B0D">
            <w:pPr>
              <w:autoSpaceDE w:val="0"/>
              <w:autoSpaceDN w:val="0"/>
              <w:adjustRightInd w:val="0"/>
              <w:spacing w:after="18" w:line="240" w:lineRule="auto"/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C46B0D">
              <w:rPr>
                <w:rFonts w:ascii="Verdana" w:hAnsi="Verdana" w:cs="Calibri"/>
                <w:color w:val="000000"/>
                <w:sz w:val="17"/>
                <w:szCs w:val="17"/>
              </w:rPr>
              <w:t xml:space="preserve">5. The committee allows for my constituency to have a voice in college governance. </w:t>
            </w:r>
          </w:p>
          <w:p w14:paraId="359CF461" w14:textId="77777777" w:rsidR="00C46B0D" w:rsidRPr="00C46B0D" w:rsidRDefault="00C46B0D" w:rsidP="00C46B0D">
            <w:pPr>
              <w:autoSpaceDE w:val="0"/>
              <w:autoSpaceDN w:val="0"/>
              <w:adjustRightInd w:val="0"/>
              <w:spacing w:after="18" w:line="240" w:lineRule="auto"/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C46B0D">
              <w:rPr>
                <w:rFonts w:ascii="Verdana" w:hAnsi="Verdana" w:cs="Calibri"/>
                <w:color w:val="000000"/>
                <w:sz w:val="17"/>
                <w:szCs w:val="17"/>
              </w:rPr>
              <w:t xml:space="preserve">6. The committee allows for my constituency to receive important information. </w:t>
            </w:r>
          </w:p>
          <w:p w14:paraId="2017A564" w14:textId="77777777" w:rsidR="00876FAA" w:rsidRDefault="00C46B0D" w:rsidP="00C4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C46B0D">
              <w:rPr>
                <w:rFonts w:ascii="Verdana" w:hAnsi="Verdana" w:cs="Calibri"/>
                <w:color w:val="000000"/>
                <w:sz w:val="17"/>
                <w:szCs w:val="17"/>
              </w:rPr>
              <w:t>7. The committee's processes and outcomes are well integrated with the College's strategic plan.</w:t>
            </w:r>
          </w:p>
          <w:p w14:paraId="6157ECA0" w14:textId="46309DCF" w:rsidR="00C46B0D" w:rsidRPr="00C46B0D" w:rsidRDefault="00C46B0D" w:rsidP="00C46B0D">
            <w:pPr>
              <w:autoSpaceDE w:val="0"/>
              <w:autoSpaceDN w:val="0"/>
              <w:adjustRightInd w:val="0"/>
              <w:spacing w:after="0" w:line="240" w:lineRule="auto"/>
              <w:rPr>
                <w:rFonts w:ascii="Verdana" w:hAnsi="Verdana" w:cs="Calibri"/>
                <w:color w:val="000000"/>
                <w:sz w:val="17"/>
                <w:szCs w:val="17"/>
              </w:rPr>
            </w:pPr>
            <w:r w:rsidRPr="00C46B0D">
              <w:rPr>
                <w:rFonts w:ascii="Verdana" w:hAnsi="Verdana" w:cs="Calibri"/>
                <w:color w:val="000000"/>
                <w:sz w:val="17"/>
                <w:szCs w:val="17"/>
              </w:rPr>
              <w:t xml:space="preserve"> </w:t>
            </w:r>
          </w:p>
          <w:p w14:paraId="7E1B91F3" w14:textId="77777777" w:rsidR="00D420BE" w:rsidRDefault="00C15EC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Analyzing comments</w:t>
            </w:r>
          </w:p>
          <w:p w14:paraId="76DEF4E3" w14:textId="4FA405CA" w:rsidR="00C15EC8" w:rsidRDefault="00C15EC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-Sig accomplishments: report will go to college president </w:t>
            </w:r>
          </w:p>
          <w:p w14:paraId="5222D5AE" w14:textId="77777777" w:rsidR="00876FAA" w:rsidRDefault="00876FAA">
            <w:pPr>
              <w:pStyle w:val="Default"/>
              <w:rPr>
                <w:sz w:val="17"/>
                <w:szCs w:val="17"/>
              </w:rPr>
            </w:pPr>
          </w:p>
          <w:p w14:paraId="0A386742" w14:textId="59729DFD" w:rsidR="00DB0DD9" w:rsidRDefault="00876FA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-DRAFT GOALS: more </w:t>
            </w:r>
            <w:r w:rsidR="00C15EC8">
              <w:rPr>
                <w:sz w:val="17"/>
                <w:szCs w:val="17"/>
              </w:rPr>
              <w:t>big picture</w:t>
            </w:r>
            <w:r>
              <w:rPr>
                <w:sz w:val="17"/>
                <w:szCs w:val="17"/>
              </w:rPr>
              <w:t xml:space="preserve"> (goals are in bold, discussion points are in regular font)</w:t>
            </w:r>
          </w:p>
          <w:p w14:paraId="0A4300D4" w14:textId="4819EB61" w:rsidR="00DA49B1" w:rsidRPr="00876FAA" w:rsidRDefault="00DA49B1">
            <w:pPr>
              <w:pStyle w:val="Default"/>
              <w:rPr>
                <w:b/>
                <w:sz w:val="17"/>
                <w:szCs w:val="17"/>
              </w:rPr>
            </w:pPr>
            <w:r w:rsidRPr="00876FAA">
              <w:rPr>
                <w:b/>
                <w:sz w:val="17"/>
                <w:szCs w:val="17"/>
              </w:rPr>
              <w:t>1.  Restructuri</w:t>
            </w:r>
            <w:r w:rsidR="00876FAA" w:rsidRPr="00876FAA">
              <w:rPr>
                <w:b/>
                <w:sz w:val="17"/>
                <w:szCs w:val="17"/>
              </w:rPr>
              <w:t xml:space="preserve">ng membership, </w:t>
            </w:r>
            <w:r w:rsidRPr="00876FAA">
              <w:rPr>
                <w:b/>
                <w:sz w:val="17"/>
                <w:szCs w:val="17"/>
              </w:rPr>
              <w:t>clarify roles of members.</w:t>
            </w:r>
          </w:p>
          <w:p w14:paraId="1D694DED" w14:textId="7A55D37C" w:rsidR="00713E27" w:rsidRDefault="00876FAA" w:rsidP="00713E2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-H</w:t>
            </w:r>
            <w:r w:rsidR="00713E27">
              <w:rPr>
                <w:sz w:val="17"/>
                <w:szCs w:val="17"/>
              </w:rPr>
              <w:t>ave a very large number of membership</w:t>
            </w:r>
          </w:p>
          <w:p w14:paraId="6BDF2C73" w14:textId="77777777" w:rsidR="00713E27" w:rsidRDefault="00713E27" w:rsidP="00713E2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Counseling out of commission during peak periods. </w:t>
            </w:r>
          </w:p>
          <w:p w14:paraId="6BB9302F" w14:textId="77777777" w:rsidR="00713E27" w:rsidRDefault="00713E27" w:rsidP="00713E2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-Question:  does library have to be on this committee?  They really need to be sure they are on the SS side. They don’t teach classes, so there may not be a need for it on this committee. </w:t>
            </w:r>
          </w:p>
          <w:p w14:paraId="3860200B" w14:textId="0321E007" w:rsidR="00DB0DD9" w:rsidRDefault="00713E27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-meaningful members to curriculum</w:t>
            </w:r>
            <w:r w:rsidR="00876FAA">
              <w:rPr>
                <w:sz w:val="17"/>
                <w:szCs w:val="17"/>
              </w:rPr>
              <w:t>.</w:t>
            </w:r>
          </w:p>
          <w:p w14:paraId="1B0CD1DB" w14:textId="77777777" w:rsidR="00DA49B1" w:rsidRPr="00876FAA" w:rsidRDefault="00DA49B1">
            <w:pPr>
              <w:pStyle w:val="Default"/>
              <w:rPr>
                <w:b/>
                <w:sz w:val="17"/>
                <w:szCs w:val="17"/>
              </w:rPr>
            </w:pPr>
            <w:r w:rsidRPr="00876FAA">
              <w:rPr>
                <w:b/>
                <w:sz w:val="17"/>
                <w:szCs w:val="17"/>
              </w:rPr>
              <w:t>2. Improving member attendance/participation</w:t>
            </w:r>
          </w:p>
          <w:p w14:paraId="2E304E1F" w14:textId="0E31D015" w:rsidR="00654E04" w:rsidRDefault="00654E04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-attend camps and help</w:t>
            </w:r>
          </w:p>
          <w:p w14:paraId="15F44375" w14:textId="10CD39C5" w:rsidR="00E04ADA" w:rsidRDefault="00654E04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-take on the role</w:t>
            </w:r>
            <w:r w:rsidR="00876FAA">
              <w:rPr>
                <w:sz w:val="17"/>
                <w:szCs w:val="17"/>
              </w:rPr>
              <w:t xml:space="preserve"> of approvals in the new system</w:t>
            </w:r>
          </w:p>
          <w:p w14:paraId="01E6A977" w14:textId="77777777" w:rsidR="00DA49B1" w:rsidRPr="00876FAA" w:rsidRDefault="00DA49B1">
            <w:pPr>
              <w:pStyle w:val="Default"/>
              <w:rPr>
                <w:b/>
                <w:sz w:val="17"/>
                <w:szCs w:val="17"/>
              </w:rPr>
            </w:pPr>
            <w:r w:rsidRPr="00876FAA">
              <w:rPr>
                <w:b/>
                <w:sz w:val="17"/>
                <w:szCs w:val="17"/>
              </w:rPr>
              <w:t>3.  Integration of assessment work into college governance.</w:t>
            </w:r>
          </w:p>
          <w:p w14:paraId="5ABA1EC9" w14:textId="64E408E4" w:rsidR="00DB0DD9" w:rsidRDefault="00DB0DD9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-we work with </w:t>
            </w:r>
            <w:proofErr w:type="gramStart"/>
            <w:r>
              <w:rPr>
                <w:sz w:val="17"/>
                <w:szCs w:val="17"/>
              </w:rPr>
              <w:t>CC,</w:t>
            </w:r>
            <w:proofErr w:type="gramEnd"/>
            <w:r>
              <w:rPr>
                <w:sz w:val="17"/>
                <w:szCs w:val="17"/>
              </w:rPr>
              <w:t xml:space="preserve"> maybe we should have a joint meeting with CC. Most meaningful way to participate is going to camps and trying to help. Would be helpful to concretely picture what steps they are going to…..idea:  LAC members go to CC meeting/camp (mandatory camp), or have  joint meeting</w:t>
            </w:r>
          </w:p>
          <w:p w14:paraId="76AF6CB0" w14:textId="244F42FE" w:rsidR="00654E04" w:rsidRDefault="00654E04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-what does that mean?  The job description, interview questions, ----when you hire any position</w:t>
            </w:r>
          </w:p>
          <w:p w14:paraId="3789EDA5" w14:textId="2C2DFFCD" w:rsidR="007145E3" w:rsidRDefault="007145E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IEC subcommittee (Rebecca, Phillip, Heather, Dr. Yu)-assessment needs a the college level:  1.) </w:t>
            </w:r>
            <w:r>
              <w:rPr>
                <w:sz w:val="17"/>
                <w:szCs w:val="17"/>
              </w:rPr>
              <w:lastRenderedPageBreak/>
              <w:t>questions about assessment/curriculum in the interview process</w:t>
            </w:r>
          </w:p>
          <w:p w14:paraId="4840AF49" w14:textId="7209D46E" w:rsidR="00DB0DD9" w:rsidRDefault="00DA49B1">
            <w:pPr>
              <w:pStyle w:val="Default"/>
              <w:rPr>
                <w:sz w:val="17"/>
                <w:szCs w:val="17"/>
              </w:rPr>
            </w:pPr>
            <w:r w:rsidRPr="00876FAA">
              <w:rPr>
                <w:b/>
                <w:sz w:val="17"/>
                <w:szCs w:val="17"/>
              </w:rPr>
              <w:t>4.  Improve administrative support.</w:t>
            </w:r>
            <w:r w:rsidR="00876FAA">
              <w:rPr>
                <w:sz w:val="17"/>
                <w:szCs w:val="17"/>
              </w:rPr>
              <w:t xml:space="preserve"> </w:t>
            </w:r>
          </w:p>
          <w:p w14:paraId="1885AA66" w14:textId="77777777" w:rsidR="00E04ADA" w:rsidRDefault="00E04ADA" w:rsidP="00E04AD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The list of items in the Follow Up Report for admin to do. </w:t>
            </w:r>
          </w:p>
          <w:p w14:paraId="4E1A515A" w14:textId="7E277B5D" w:rsidR="00E04ADA" w:rsidRPr="00876FAA" w:rsidRDefault="00E04ADA" w:rsidP="00E04ADA">
            <w:pPr>
              <w:pStyle w:val="Default"/>
              <w:tabs>
                <w:tab w:val="left" w:pos="1095"/>
              </w:tabs>
              <w:rPr>
                <w:b/>
                <w:sz w:val="17"/>
                <w:szCs w:val="17"/>
              </w:rPr>
            </w:pPr>
            <w:r w:rsidRPr="00876FAA">
              <w:rPr>
                <w:b/>
                <w:sz w:val="17"/>
                <w:szCs w:val="17"/>
              </w:rPr>
              <w:t>ADD</w:t>
            </w:r>
          </w:p>
          <w:p w14:paraId="05C750A6" w14:textId="77777777" w:rsidR="00876FAA" w:rsidRDefault="00E04ADA">
            <w:pPr>
              <w:pStyle w:val="Default"/>
              <w:rPr>
                <w:b/>
                <w:sz w:val="17"/>
                <w:szCs w:val="17"/>
              </w:rPr>
            </w:pPr>
            <w:r w:rsidRPr="00876FAA">
              <w:rPr>
                <w:b/>
                <w:sz w:val="17"/>
                <w:szCs w:val="17"/>
              </w:rPr>
              <w:t>5.  Continuing to cross-pollinate LAC and CC.</w:t>
            </w:r>
            <w:r w:rsidR="00876FAA">
              <w:rPr>
                <w:b/>
                <w:sz w:val="17"/>
                <w:szCs w:val="17"/>
              </w:rPr>
              <w:t xml:space="preserve"> </w:t>
            </w:r>
          </w:p>
          <w:p w14:paraId="62AFD19E" w14:textId="69FD6F2A" w:rsidR="00E04ADA" w:rsidRDefault="00876FAA">
            <w:pPr>
              <w:pStyle w:val="Default"/>
              <w:rPr>
                <w:sz w:val="17"/>
                <w:szCs w:val="17"/>
              </w:rPr>
            </w:pPr>
            <w:r>
              <w:rPr>
                <w:b/>
                <w:sz w:val="17"/>
                <w:szCs w:val="17"/>
              </w:rPr>
              <w:t>-</w:t>
            </w:r>
            <w:r w:rsidR="00E04ADA">
              <w:rPr>
                <w:sz w:val="17"/>
                <w:szCs w:val="17"/>
              </w:rPr>
              <w:t>strategize together</w:t>
            </w:r>
          </w:p>
          <w:p w14:paraId="7DD13EC3" w14:textId="62921D1F" w:rsidR="007145E3" w:rsidRDefault="007145E3">
            <w:pPr>
              <w:pStyle w:val="Default"/>
              <w:rPr>
                <w:sz w:val="17"/>
                <w:szCs w:val="17"/>
              </w:rPr>
            </w:pPr>
            <w:r w:rsidRPr="00876FAA">
              <w:rPr>
                <w:b/>
                <w:sz w:val="17"/>
                <w:szCs w:val="17"/>
              </w:rPr>
              <w:t>6.  Formulate Clear plan for ILO assessment</w:t>
            </w:r>
            <w:r>
              <w:rPr>
                <w:sz w:val="17"/>
                <w:szCs w:val="17"/>
              </w:rPr>
              <w:t xml:space="preserve">. </w:t>
            </w:r>
          </w:p>
          <w:p w14:paraId="546784A0" w14:textId="4264B6B7" w:rsidR="00DB0DD9" w:rsidRDefault="00876FA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-c</w:t>
            </w:r>
            <w:r w:rsidR="007145E3">
              <w:rPr>
                <w:sz w:val="17"/>
                <w:szCs w:val="17"/>
              </w:rPr>
              <w:t xml:space="preserve">an get it not only from PLOs during PR, but from other places aka </w:t>
            </w:r>
            <w:proofErr w:type="spellStart"/>
            <w:r w:rsidR="007145E3">
              <w:rPr>
                <w:sz w:val="17"/>
                <w:szCs w:val="17"/>
              </w:rPr>
              <w:t>stand alone</w:t>
            </w:r>
            <w:proofErr w:type="spellEnd"/>
            <w:r w:rsidR="007145E3">
              <w:rPr>
                <w:sz w:val="17"/>
                <w:szCs w:val="17"/>
              </w:rPr>
              <w:t xml:space="preserve"> courses, other surveys, etc.  </w:t>
            </w:r>
          </w:p>
          <w:p w14:paraId="1D4A6CA0" w14:textId="77777777" w:rsidR="00E04ADA" w:rsidRDefault="00E04ADA">
            <w:pPr>
              <w:pStyle w:val="Default"/>
              <w:rPr>
                <w:sz w:val="17"/>
                <w:szCs w:val="17"/>
              </w:rPr>
            </w:pPr>
          </w:p>
          <w:p w14:paraId="21D103FD" w14:textId="77777777" w:rsidR="00E04ADA" w:rsidRDefault="00E04AD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DE and assessment:  Anna had to turn in the a few weeks</w:t>
            </w:r>
          </w:p>
          <w:p w14:paraId="6536F64A" w14:textId="42023D1B" w:rsidR="00E04ADA" w:rsidRPr="00637858" w:rsidRDefault="00E04ADA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You can put SLOs in Canvas and attach them to assignments and projects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361FB" w14:textId="31011D63" w:rsidR="00BE565C" w:rsidRPr="00637858" w:rsidRDefault="003E11A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lastRenderedPageBreak/>
              <w:t>11:08-12:08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19C0BB" w14:textId="77777777" w:rsidR="005B2E18" w:rsidRDefault="005B2E18">
            <w:pPr>
              <w:pStyle w:val="Default"/>
              <w:rPr>
                <w:sz w:val="17"/>
                <w:szCs w:val="17"/>
              </w:rPr>
            </w:pPr>
          </w:p>
          <w:p w14:paraId="2A01882C" w14:textId="77777777" w:rsidR="003E11A6" w:rsidRDefault="003E11A6">
            <w:pPr>
              <w:pStyle w:val="Default"/>
              <w:rPr>
                <w:sz w:val="17"/>
                <w:szCs w:val="17"/>
              </w:rPr>
            </w:pPr>
          </w:p>
          <w:p w14:paraId="17D1BD81" w14:textId="77777777" w:rsidR="003E11A6" w:rsidRDefault="003E11A6">
            <w:pPr>
              <w:pStyle w:val="Default"/>
              <w:rPr>
                <w:sz w:val="17"/>
                <w:szCs w:val="17"/>
              </w:rPr>
            </w:pPr>
          </w:p>
          <w:p w14:paraId="51BBDAB8" w14:textId="77777777" w:rsidR="005B2E18" w:rsidRDefault="005B2E18">
            <w:pPr>
              <w:pStyle w:val="Default"/>
              <w:rPr>
                <w:sz w:val="17"/>
                <w:szCs w:val="17"/>
              </w:rPr>
            </w:pPr>
          </w:p>
          <w:p w14:paraId="5F4D0D3B" w14:textId="77777777" w:rsidR="003E11A6" w:rsidRDefault="003E11A6">
            <w:pPr>
              <w:pStyle w:val="Default"/>
              <w:rPr>
                <w:sz w:val="17"/>
                <w:szCs w:val="17"/>
              </w:rPr>
            </w:pPr>
          </w:p>
          <w:p w14:paraId="14A1DD35" w14:textId="77777777" w:rsidR="005B2E18" w:rsidRDefault="005B2E1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TO DO: in relation to our membership and our </w:t>
            </w:r>
            <w:proofErr w:type="gramStart"/>
            <w:r>
              <w:rPr>
                <w:sz w:val="17"/>
                <w:szCs w:val="17"/>
              </w:rPr>
              <w:t>role</w:t>
            </w:r>
            <w:r w:rsidR="00C81333">
              <w:rPr>
                <w:sz w:val="17"/>
                <w:szCs w:val="17"/>
              </w:rPr>
              <w:t xml:space="preserve">  -</w:t>
            </w:r>
            <w:proofErr w:type="gramEnd"/>
            <w:r w:rsidR="00C81333">
              <w:rPr>
                <w:sz w:val="17"/>
                <w:szCs w:val="17"/>
              </w:rPr>
              <w:t xml:space="preserve"> TALK to other colleges to see how their approval process is for assessment data inputted.</w:t>
            </w:r>
          </w:p>
          <w:p w14:paraId="1CA3D70F" w14:textId="77777777" w:rsidR="00C81333" w:rsidRDefault="00C81333">
            <w:pPr>
              <w:pStyle w:val="Default"/>
              <w:rPr>
                <w:sz w:val="17"/>
                <w:szCs w:val="17"/>
              </w:rPr>
            </w:pPr>
          </w:p>
          <w:p w14:paraId="547E25D3" w14:textId="54F2142B" w:rsidR="00C81333" w:rsidRDefault="00C8133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TODO: follow up with counselors that they can attend during peak enrollment</w:t>
            </w:r>
          </w:p>
          <w:p w14:paraId="1FC3FC31" w14:textId="77777777" w:rsidR="00DB0DD9" w:rsidRDefault="00DB0DD9">
            <w:pPr>
              <w:pStyle w:val="Default"/>
              <w:rPr>
                <w:sz w:val="17"/>
                <w:szCs w:val="17"/>
              </w:rPr>
            </w:pPr>
          </w:p>
          <w:p w14:paraId="3CAEBA32" w14:textId="23AD077B" w:rsidR="00DB0DD9" w:rsidRDefault="00DB0DD9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TODO: membership</w:t>
            </w:r>
            <w:r w:rsidR="003E11A6">
              <w:rPr>
                <w:sz w:val="17"/>
                <w:szCs w:val="17"/>
              </w:rPr>
              <w:t xml:space="preserve"> areas revisited</w:t>
            </w:r>
          </w:p>
          <w:p w14:paraId="1B360B9D" w14:textId="77777777" w:rsidR="00DB0DD9" w:rsidRDefault="00DB0DD9">
            <w:pPr>
              <w:pStyle w:val="Default"/>
              <w:rPr>
                <w:sz w:val="17"/>
                <w:szCs w:val="17"/>
              </w:rPr>
            </w:pPr>
          </w:p>
          <w:p w14:paraId="03685863" w14:textId="7A9136C6" w:rsidR="00DB0DD9" w:rsidRDefault="00DB0DD9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TODO:  how to have both LAC and CC do something together. </w:t>
            </w:r>
          </w:p>
          <w:p w14:paraId="4C0CFBAB" w14:textId="77777777" w:rsidR="007145E3" w:rsidRDefault="007145E3">
            <w:pPr>
              <w:pStyle w:val="Default"/>
              <w:rPr>
                <w:sz w:val="17"/>
                <w:szCs w:val="17"/>
              </w:rPr>
            </w:pPr>
          </w:p>
          <w:p w14:paraId="291F9DF3" w14:textId="38C17AE9" w:rsidR="007145E3" w:rsidRDefault="007145E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TODO: possible delete one ILO and it will match the 4-year cycle of Program Review. </w:t>
            </w:r>
          </w:p>
          <w:p w14:paraId="19229FA5" w14:textId="0E3B5112" w:rsidR="00C81333" w:rsidRPr="00637858" w:rsidRDefault="00C81333">
            <w:pPr>
              <w:pStyle w:val="Default"/>
              <w:rPr>
                <w:sz w:val="17"/>
                <w:szCs w:val="17"/>
              </w:rPr>
            </w:pPr>
          </w:p>
        </w:tc>
      </w:tr>
      <w:tr w:rsidR="000203A7" w:rsidRPr="00637858" w14:paraId="5337D8A9" w14:textId="77777777" w:rsidTr="007145E3">
        <w:trPr>
          <w:trHeight w:val="337"/>
        </w:trPr>
        <w:tc>
          <w:tcPr>
            <w:tcW w:w="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CA9877" w14:textId="4088B449" w:rsidR="000203A7" w:rsidRPr="00637858" w:rsidRDefault="000203A7">
            <w:pPr>
              <w:pStyle w:val="Default"/>
              <w:rPr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47E0A0" w14:textId="4925F28F" w:rsidR="000203A7" w:rsidRPr="00637858" w:rsidRDefault="00E0336A">
            <w:pPr>
              <w:pStyle w:val="Default"/>
              <w:rPr>
                <w:sz w:val="17"/>
                <w:szCs w:val="17"/>
              </w:rPr>
            </w:pPr>
            <w:r w:rsidRPr="00637858">
              <w:rPr>
                <w:sz w:val="17"/>
                <w:szCs w:val="17"/>
              </w:rPr>
              <w:t>ILO Project Presentation</w:t>
            </w:r>
          </w:p>
        </w:tc>
        <w:tc>
          <w:tcPr>
            <w:tcW w:w="89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8634FB" w14:textId="51A4AB3B" w:rsidR="000203A7" w:rsidRDefault="00E0336A">
            <w:pPr>
              <w:pStyle w:val="Default"/>
              <w:rPr>
                <w:sz w:val="17"/>
                <w:szCs w:val="17"/>
              </w:rPr>
            </w:pPr>
            <w:r w:rsidRPr="00637858">
              <w:rPr>
                <w:sz w:val="17"/>
                <w:szCs w:val="17"/>
              </w:rPr>
              <w:t xml:space="preserve">Ian </w:t>
            </w:r>
            <w:proofErr w:type="spellStart"/>
            <w:r w:rsidRPr="00637858">
              <w:rPr>
                <w:sz w:val="17"/>
                <w:szCs w:val="17"/>
              </w:rPr>
              <w:t>Latta</w:t>
            </w:r>
            <w:proofErr w:type="spellEnd"/>
            <w:r w:rsidRPr="00637858">
              <w:rPr>
                <w:sz w:val="17"/>
                <w:szCs w:val="17"/>
              </w:rPr>
              <w:t xml:space="preserve"> presenting ILO Project </w:t>
            </w:r>
          </w:p>
          <w:p w14:paraId="35A5A20E" w14:textId="6AE04C69" w:rsidR="007145E3" w:rsidRDefault="007145E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-Rough draft</w:t>
            </w:r>
          </w:p>
          <w:p w14:paraId="39E0367B" w14:textId="5B4A890B" w:rsidR="007145E3" w:rsidRDefault="007145E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Start with ILOs </w:t>
            </w:r>
          </w:p>
          <w:p w14:paraId="55784B94" w14:textId="3582699D" w:rsidR="007145E3" w:rsidRDefault="007145E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 Very global for whole campus-critical thinking</w:t>
            </w:r>
          </w:p>
          <w:p w14:paraId="730BDB5C" w14:textId="6685F160" w:rsidR="007145E3" w:rsidRDefault="007145E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Overview of Benchmarks:  </w:t>
            </w:r>
          </w:p>
          <w:p w14:paraId="3B89D3FB" w14:textId="17639CD5" w:rsidR="007145E3" w:rsidRDefault="007145E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 Talked to faculty from 10 departments to look for broader definition of CT</w:t>
            </w:r>
          </w:p>
          <w:p w14:paraId="63844CA7" w14:textId="70188815" w:rsidR="007145E3" w:rsidRDefault="007145E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2.  </w:t>
            </w:r>
            <w:r w:rsidR="003D5248">
              <w:rPr>
                <w:sz w:val="17"/>
                <w:szCs w:val="17"/>
              </w:rPr>
              <w:t>Setting up website, presented during Flex Week, announced project at Dept. Chair meeting.</w:t>
            </w:r>
          </w:p>
          <w:p w14:paraId="78298CDB" w14:textId="30A90712" w:rsidR="003D5248" w:rsidRDefault="003D524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Page 3- the arrow titles will be links on the website</w:t>
            </w:r>
          </w:p>
          <w:p w14:paraId="2B44E412" w14:textId="2D6B283D" w:rsidR="006411E1" w:rsidRDefault="003D5248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3. Overview of Handbook:  examples of metacognition,</w:t>
            </w:r>
            <w:r w:rsidR="003E11A6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critical </w:t>
            </w:r>
            <w:r w:rsidR="00563859">
              <w:rPr>
                <w:sz w:val="17"/>
                <w:szCs w:val="17"/>
              </w:rPr>
              <w:t>pedagogy</w:t>
            </w:r>
          </w:p>
          <w:p w14:paraId="0CEE5F55" w14:textId="77777777" w:rsidR="006411E1" w:rsidRDefault="006411E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ideas:</w:t>
            </w:r>
          </w:p>
          <w:p w14:paraId="2FCBFCB9" w14:textId="3B706B53" w:rsidR="006411E1" w:rsidRDefault="006411E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-next: come up with project that everyone can parti</w:t>
            </w:r>
            <w:r w:rsidR="003E11A6">
              <w:rPr>
                <w:sz w:val="17"/>
                <w:szCs w:val="17"/>
              </w:rPr>
              <w:t>cipate in to assess an ILO.  E</w:t>
            </w:r>
            <w:r>
              <w:rPr>
                <w:sz w:val="17"/>
                <w:szCs w:val="17"/>
              </w:rPr>
              <w:t>nvision</w:t>
            </w:r>
            <w:r w:rsidR="003E11A6">
              <w:rPr>
                <w:sz w:val="17"/>
                <w:szCs w:val="17"/>
              </w:rPr>
              <w:t>s a</w:t>
            </w:r>
            <w:r>
              <w:rPr>
                <w:sz w:val="17"/>
                <w:szCs w:val="17"/>
              </w:rPr>
              <w:t xml:space="preserve"> group discussions diving into these concepts, what they mean and how to apply to their class. PD demo of people who are here and already do these things (</w:t>
            </w:r>
            <w:r w:rsidR="003E11A6">
              <w:rPr>
                <w:sz w:val="17"/>
                <w:szCs w:val="17"/>
              </w:rPr>
              <w:t>selected instructors that Ian had talked to present at PD</w:t>
            </w:r>
          </w:p>
          <w:p w14:paraId="1CEBA843" w14:textId="3E63F1EE" w:rsidR="006411E1" w:rsidRDefault="006411E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thoughts big picture and long game: </w:t>
            </w:r>
          </w:p>
          <w:p w14:paraId="62D220D3" w14:textId="77777777" w:rsidR="003E11A6" w:rsidRDefault="006411E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</w:t>
            </w:r>
            <w:proofErr w:type="gramStart"/>
            <w:r>
              <w:rPr>
                <w:sz w:val="17"/>
                <w:szCs w:val="17"/>
              </w:rPr>
              <w:t>pulling</w:t>
            </w:r>
            <w:proofErr w:type="gramEnd"/>
            <w:r>
              <w:rPr>
                <w:sz w:val="17"/>
                <w:szCs w:val="17"/>
              </w:rPr>
              <w:t xml:space="preserve"> a project for each ILO – identify ILO and disseminate it at end of spring, so they are planning for ILO coming up.  </w:t>
            </w:r>
          </w:p>
          <w:p w14:paraId="1B45052A" w14:textId="3242180B" w:rsidR="006411E1" w:rsidRDefault="006411E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GOAL: try to have someone or a group of people to work on that.</w:t>
            </w:r>
          </w:p>
          <w:p w14:paraId="0B9DC263" w14:textId="34743EF7" w:rsidR="006411E1" w:rsidRDefault="006411E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Series on each ILO </w:t>
            </w:r>
          </w:p>
          <w:p w14:paraId="6AA04871" w14:textId="1BB0884C" w:rsidR="006411E1" w:rsidRDefault="006411E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Healthiest PD had a focus each year with multiple opportunities for person to learn about this. </w:t>
            </w:r>
          </w:p>
          <w:p w14:paraId="35813A55" w14:textId="50F21136" w:rsidR="000203A7" w:rsidRPr="00637858" w:rsidRDefault="006411E1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-This can be put into Moodle also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A7B169" w14:textId="72A24BAE" w:rsidR="000203A7" w:rsidRPr="00637858" w:rsidRDefault="007145E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12:08-</w:t>
            </w:r>
            <w:r w:rsidR="00E0336A" w:rsidRPr="00637858">
              <w:rPr>
                <w:sz w:val="17"/>
                <w:szCs w:val="17"/>
              </w:rPr>
              <w:t>1</w:t>
            </w:r>
            <w:r w:rsidR="008706A2">
              <w:rPr>
                <w:sz w:val="17"/>
                <w:szCs w:val="17"/>
              </w:rPr>
              <w:t>2:40</w:t>
            </w:r>
          </w:p>
        </w:tc>
        <w:tc>
          <w:tcPr>
            <w:tcW w:w="31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2FA81E" w14:textId="77777777" w:rsidR="000203A7" w:rsidRDefault="007145E3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TODO: possible buy the little CT books that </w:t>
            </w:r>
            <w:proofErr w:type="spellStart"/>
            <w:r>
              <w:rPr>
                <w:sz w:val="17"/>
                <w:szCs w:val="17"/>
              </w:rPr>
              <w:t>Cheli</w:t>
            </w:r>
            <w:proofErr w:type="spellEnd"/>
            <w:r>
              <w:rPr>
                <w:sz w:val="17"/>
                <w:szCs w:val="17"/>
              </w:rPr>
              <w:t xml:space="preserve"> showed us and Ian used. </w:t>
            </w:r>
          </w:p>
          <w:p w14:paraId="23514F5B" w14:textId="77777777" w:rsidR="008706A2" w:rsidRDefault="008706A2">
            <w:pPr>
              <w:pStyle w:val="Default"/>
              <w:rPr>
                <w:sz w:val="17"/>
                <w:szCs w:val="17"/>
              </w:rPr>
            </w:pPr>
          </w:p>
          <w:p w14:paraId="340640E3" w14:textId="5E811699" w:rsidR="008706A2" w:rsidRDefault="008706A2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TODO:  continue to check in with Ian </w:t>
            </w:r>
            <w:r w:rsidR="003E11A6">
              <w:rPr>
                <w:sz w:val="17"/>
                <w:szCs w:val="17"/>
              </w:rPr>
              <w:t>for upload to website</w:t>
            </w:r>
          </w:p>
          <w:p w14:paraId="23362ACC" w14:textId="77777777" w:rsidR="008706A2" w:rsidRDefault="008706A2">
            <w:pPr>
              <w:pStyle w:val="Default"/>
              <w:rPr>
                <w:sz w:val="17"/>
                <w:szCs w:val="17"/>
              </w:rPr>
            </w:pPr>
          </w:p>
          <w:p w14:paraId="474B4D08" w14:textId="77777777" w:rsidR="006411E1" w:rsidRDefault="006411E1">
            <w:pPr>
              <w:pStyle w:val="Default"/>
              <w:rPr>
                <w:sz w:val="17"/>
                <w:szCs w:val="17"/>
              </w:rPr>
            </w:pPr>
          </w:p>
          <w:p w14:paraId="714DDD83" w14:textId="035B418C" w:rsidR="006411E1" w:rsidRPr="00637858" w:rsidRDefault="006411E1" w:rsidP="003E11A6">
            <w:pPr>
              <w:pStyle w:val="Default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 xml:space="preserve">TODO: </w:t>
            </w:r>
            <w:r w:rsidR="003E11A6">
              <w:rPr>
                <w:sz w:val="17"/>
                <w:szCs w:val="17"/>
              </w:rPr>
              <w:t xml:space="preserve">possible </w:t>
            </w:r>
            <w:bookmarkStart w:id="0" w:name="_GoBack"/>
            <w:bookmarkEnd w:id="0"/>
            <w:r w:rsidR="003E11A6">
              <w:rPr>
                <w:sz w:val="17"/>
                <w:szCs w:val="17"/>
              </w:rPr>
              <w:t xml:space="preserve">upload ILO project into </w:t>
            </w:r>
            <w:r>
              <w:rPr>
                <w:sz w:val="17"/>
                <w:szCs w:val="17"/>
              </w:rPr>
              <w:t>Moodle</w:t>
            </w:r>
          </w:p>
        </w:tc>
      </w:tr>
      <w:tr w:rsidR="000203A7" w14:paraId="086C6760" w14:textId="77777777" w:rsidTr="00E221F2">
        <w:trPr>
          <w:trHeight w:val="253"/>
        </w:trPr>
        <w:tc>
          <w:tcPr>
            <w:tcW w:w="14598" w:type="dxa"/>
            <w:gridSpan w:val="5"/>
          </w:tcPr>
          <w:p w14:paraId="6969519A" w14:textId="3E370B89" w:rsidR="000203A7" w:rsidRDefault="000203A7">
            <w:pPr>
              <w:pStyle w:val="Default"/>
              <w:rPr>
                <w:sz w:val="18"/>
                <w:szCs w:val="18"/>
              </w:rPr>
            </w:pPr>
          </w:p>
        </w:tc>
      </w:tr>
    </w:tbl>
    <w:p w14:paraId="41C68CF7" w14:textId="77777777" w:rsidR="008F6C8F" w:rsidRDefault="008F6C8F"/>
    <w:sectPr w:rsidR="008F6C8F" w:rsidSect="00E221F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B991DB" w14:textId="77777777" w:rsidR="002C315D" w:rsidRDefault="002C315D" w:rsidP="00EF1E69">
      <w:pPr>
        <w:spacing w:after="0" w:line="240" w:lineRule="auto"/>
      </w:pPr>
      <w:r>
        <w:separator/>
      </w:r>
    </w:p>
  </w:endnote>
  <w:endnote w:type="continuationSeparator" w:id="0">
    <w:p w14:paraId="09C8E548" w14:textId="77777777" w:rsidR="002C315D" w:rsidRDefault="002C315D" w:rsidP="00EF1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745460" w14:textId="77777777" w:rsidR="00EF1E69" w:rsidRDefault="00EF1E6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32ED7D" w14:textId="77777777" w:rsidR="00EF1E69" w:rsidRDefault="00EF1E6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F41AAB" w14:textId="77777777" w:rsidR="00EF1E69" w:rsidRDefault="00EF1E6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A97D51" w14:textId="77777777" w:rsidR="002C315D" w:rsidRDefault="002C315D" w:rsidP="00EF1E69">
      <w:pPr>
        <w:spacing w:after="0" w:line="240" w:lineRule="auto"/>
      </w:pPr>
      <w:r>
        <w:separator/>
      </w:r>
    </w:p>
  </w:footnote>
  <w:footnote w:type="continuationSeparator" w:id="0">
    <w:p w14:paraId="657DE7CC" w14:textId="77777777" w:rsidR="002C315D" w:rsidRDefault="002C315D" w:rsidP="00EF1E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6DB451" w14:textId="77777777" w:rsidR="00EF1E69" w:rsidRDefault="00EF1E6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7279000"/>
      <w:docPartObj>
        <w:docPartGallery w:val="Watermarks"/>
        <w:docPartUnique/>
      </w:docPartObj>
    </w:sdtPr>
    <w:sdtEndPr/>
    <w:sdtContent>
      <w:p w14:paraId="26FE2596" w14:textId="06C8C009" w:rsidR="00EF1E69" w:rsidRDefault="002C315D">
        <w:pPr>
          <w:pStyle w:val="Header"/>
        </w:pPr>
        <w:r>
          <w:rPr>
            <w:noProof/>
            <w:lang w:eastAsia="zh-TW"/>
          </w:rPr>
          <w:pict w14:anchorId="5AAFD196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34CF6" w14:textId="77777777" w:rsidR="00EF1E69" w:rsidRDefault="00EF1E6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4281A"/>
    <w:multiLevelType w:val="hybridMultilevel"/>
    <w:tmpl w:val="3CA276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7C1B"/>
    <w:rsid w:val="00014F6D"/>
    <w:rsid w:val="000203A7"/>
    <w:rsid w:val="000D08FF"/>
    <w:rsid w:val="00103852"/>
    <w:rsid w:val="00110A57"/>
    <w:rsid w:val="00113719"/>
    <w:rsid w:val="00172632"/>
    <w:rsid w:val="001C1467"/>
    <w:rsid w:val="001C7C1B"/>
    <w:rsid w:val="001F32FB"/>
    <w:rsid w:val="00243A0A"/>
    <w:rsid w:val="00271EE8"/>
    <w:rsid w:val="002A0758"/>
    <w:rsid w:val="002C315D"/>
    <w:rsid w:val="002D2D1B"/>
    <w:rsid w:val="003321D2"/>
    <w:rsid w:val="00350701"/>
    <w:rsid w:val="003652A0"/>
    <w:rsid w:val="003D5248"/>
    <w:rsid w:val="003E11A6"/>
    <w:rsid w:val="004C48F3"/>
    <w:rsid w:val="00563859"/>
    <w:rsid w:val="005B2E18"/>
    <w:rsid w:val="00607B1B"/>
    <w:rsid w:val="00637858"/>
    <w:rsid w:val="006411E1"/>
    <w:rsid w:val="00654E04"/>
    <w:rsid w:val="006B5FA4"/>
    <w:rsid w:val="00710175"/>
    <w:rsid w:val="00713E27"/>
    <w:rsid w:val="007145E3"/>
    <w:rsid w:val="00766561"/>
    <w:rsid w:val="00772F60"/>
    <w:rsid w:val="007B5148"/>
    <w:rsid w:val="00830C58"/>
    <w:rsid w:val="008706A2"/>
    <w:rsid w:val="00876FAA"/>
    <w:rsid w:val="008F6C8F"/>
    <w:rsid w:val="009249FD"/>
    <w:rsid w:val="00A4185C"/>
    <w:rsid w:val="00A55E62"/>
    <w:rsid w:val="00AA7419"/>
    <w:rsid w:val="00BB32D8"/>
    <w:rsid w:val="00BD206E"/>
    <w:rsid w:val="00BE565C"/>
    <w:rsid w:val="00C15EC8"/>
    <w:rsid w:val="00C16A69"/>
    <w:rsid w:val="00C2006B"/>
    <w:rsid w:val="00C20D55"/>
    <w:rsid w:val="00C46B0D"/>
    <w:rsid w:val="00C61334"/>
    <w:rsid w:val="00C81333"/>
    <w:rsid w:val="00D37DA5"/>
    <w:rsid w:val="00D420BE"/>
    <w:rsid w:val="00DA49B1"/>
    <w:rsid w:val="00DB0DD9"/>
    <w:rsid w:val="00DE5050"/>
    <w:rsid w:val="00E0336A"/>
    <w:rsid w:val="00E04ADA"/>
    <w:rsid w:val="00E221F2"/>
    <w:rsid w:val="00ED3C69"/>
    <w:rsid w:val="00ED6C8B"/>
    <w:rsid w:val="00EF1E69"/>
    <w:rsid w:val="00F10A1E"/>
    <w:rsid w:val="00F21616"/>
    <w:rsid w:val="00F45267"/>
    <w:rsid w:val="00F51DBE"/>
    <w:rsid w:val="00F90BA3"/>
    <w:rsid w:val="00FE0210"/>
    <w:rsid w:val="00FE6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0F7AB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C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E69"/>
  </w:style>
  <w:style w:type="paragraph" w:styleId="Footer">
    <w:name w:val="footer"/>
    <w:basedOn w:val="Normal"/>
    <w:link w:val="FooterChar"/>
    <w:uiPriority w:val="99"/>
    <w:unhideWhenUsed/>
    <w:rsid w:val="00EF1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E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C7C1B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ED3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0D5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1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E69"/>
  </w:style>
  <w:style w:type="paragraph" w:styleId="Footer">
    <w:name w:val="footer"/>
    <w:basedOn w:val="Normal"/>
    <w:link w:val="FooterChar"/>
    <w:uiPriority w:val="99"/>
    <w:unhideWhenUsed/>
    <w:rsid w:val="00EF1E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E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 Sisneros</dc:creator>
  <cp:lastModifiedBy>Heather Sisneros</cp:lastModifiedBy>
  <cp:revision>16</cp:revision>
  <dcterms:created xsi:type="dcterms:W3CDTF">2017-05-26T18:01:00Z</dcterms:created>
  <dcterms:modified xsi:type="dcterms:W3CDTF">2017-09-07T22:35:00Z</dcterms:modified>
</cp:coreProperties>
</file>