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31" w:rsidRDefault="00A04131" w:rsidP="00A04131">
      <w:pPr>
        <w:pStyle w:val="Heading4"/>
        <w:rPr>
          <w:rFonts w:ascii="Arial" w:hAnsi="Arial"/>
        </w:rPr>
      </w:pPr>
      <w:r>
        <w:rPr>
          <w:rFonts w:ascii="Arial" w:hAnsi="Arial"/>
        </w:rPr>
        <w:t>PERALTA COMMUNITY COLLEGE DISTRICT</w:t>
      </w:r>
    </w:p>
    <w:p w:rsidR="00A04131" w:rsidRDefault="00A04131" w:rsidP="00A04131">
      <w:pPr>
        <w:jc w:val="center"/>
        <w:rPr>
          <w:rFonts w:ascii="Arial" w:hAnsi="Arial"/>
          <w:b/>
        </w:rPr>
      </w:pPr>
    </w:p>
    <w:p w:rsidR="00A04131" w:rsidRDefault="00A04131" w:rsidP="00A04131">
      <w:pPr>
        <w:pStyle w:val="Heading1"/>
        <w:rPr>
          <w:sz w:val="32"/>
        </w:rPr>
      </w:pPr>
      <w:r>
        <w:rPr>
          <w:rFonts w:ascii="Arial" w:hAnsi="Arial"/>
          <w:sz w:val="32"/>
        </w:rPr>
        <w:t>UNIFORM COURSE NUMBERING SYSTEM</w:t>
      </w:r>
    </w:p>
    <w:p w:rsidR="00A04131" w:rsidRDefault="00A04131" w:rsidP="00A04131">
      <w:pPr>
        <w:rPr>
          <w:sz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2790"/>
        <w:gridCol w:w="6048"/>
      </w:tblGrid>
      <w:tr w:rsidR="00A04131" w:rsidRPr="006B12E0" w:rsidTr="00FE5EE8">
        <w:tc>
          <w:tcPr>
            <w:tcW w:w="2790" w:type="dxa"/>
          </w:tcPr>
          <w:p w:rsidR="00A04131" w:rsidRDefault="00A04131" w:rsidP="00FE5EE8">
            <w:pPr>
              <w:pStyle w:val="Heading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Uniform</w:t>
            </w:r>
          </w:p>
          <w:p w:rsidR="00A04131" w:rsidRDefault="00A04131" w:rsidP="00FE5EE8">
            <w:pPr>
              <w:pStyle w:val="Heading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 Numbers</w:t>
            </w:r>
          </w:p>
        </w:tc>
        <w:tc>
          <w:tcPr>
            <w:tcW w:w="6048" w:type="dxa"/>
          </w:tcPr>
          <w:p w:rsidR="00A04131" w:rsidRDefault="00A04131" w:rsidP="00FE5EE8">
            <w:pPr>
              <w:pStyle w:val="Heading5"/>
              <w:rPr>
                <w:rFonts w:ascii="Arial" w:hAnsi="Arial"/>
                <w:b/>
              </w:rPr>
            </w:pPr>
          </w:p>
          <w:p w:rsidR="00A04131" w:rsidRDefault="00A04131" w:rsidP="00FE5EE8">
            <w:pPr>
              <w:pStyle w:val="Heading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Explanation in Assigning Course Numbers</w:t>
            </w: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2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001 – 199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Credit, transfer, degree applicable liberal arts and vocational courses including Selected Topics for liberal arts and vocational disciplines (48s) (degree credit courses in approved programs)*.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200 – 249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Credit, non-transfer, degree applicable courses including Selected Topics for liberal arts and vocational disciplines (248s) (degree credit courses in approved programs)</w:t>
            </w:r>
            <w:proofErr w:type="gramStart"/>
            <w:r w:rsidRPr="006B12E0">
              <w:rPr>
                <w:rFonts w:ascii="Arial" w:hAnsi="Arial"/>
                <w:sz w:val="20"/>
                <w:szCs w:val="20"/>
              </w:rPr>
              <w:t>.*</w:t>
            </w:r>
            <w:proofErr w:type="gramEnd"/>
            <w:r w:rsidRPr="006B12E0">
              <w:rPr>
                <w:rFonts w:ascii="Arial" w:hAnsi="Arial"/>
                <w:sz w:val="20"/>
                <w:szCs w:val="20"/>
              </w:rPr>
              <w:t>*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250 – 299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Credit, non-transfer, non-degree applicable courses (non-degree credit courses that require either state approval or approval under delegated approval authority).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300 - 301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Credit, non-transfer, non-degree applicable Selected Topics laboratory courses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302 – 399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Credit, non-transfer, non-degree applicable Selected Topics courses (non-degree credit courses).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Reserved for District-approved Selected Topics courses that are offered for non-degree credit and which require either state approval or approval under delegated approval authority. At present only the 348 designation is being used in this series.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400 – 499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Credit Apprenticeship and Cooperative Education/Work Experience Education courses.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Apprenticeship courses are non-degree applicable and non-transfer, while Cooperative Education courses are degree applicable and transferable, with the exception of Apprentice Work Experience courses.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500 – 599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Non-credit, general, apprenticeship, and older adult courses (non-credit courses that require state approval).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600 – 699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Non-credit, courses specific for the disabled (non-credit courses that require state approval).</w:t>
            </w:r>
          </w:p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700 – 799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Not-for-credit (fee-based) courses for contract education</w:t>
            </w: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800 – 999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Community Services (fee-based) courses.</w:t>
            </w:r>
          </w:p>
        </w:tc>
      </w:tr>
      <w:tr w:rsidR="00A04131" w:rsidRPr="006B12E0" w:rsidTr="00FE5EE8">
        <w:tc>
          <w:tcPr>
            <w:tcW w:w="2790" w:type="dxa"/>
          </w:tcPr>
          <w:p w:rsidR="00A04131" w:rsidRPr="006B12E0" w:rsidRDefault="00A04131" w:rsidP="00FE5E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1000 – 9999</w:t>
            </w:r>
          </w:p>
        </w:tc>
        <w:tc>
          <w:tcPr>
            <w:tcW w:w="6048" w:type="dxa"/>
          </w:tcPr>
          <w:p w:rsidR="00A04131" w:rsidRPr="006B12E0" w:rsidRDefault="00A04131" w:rsidP="00FE5EE8">
            <w:pPr>
              <w:rPr>
                <w:rFonts w:ascii="Arial" w:hAnsi="Arial"/>
                <w:sz w:val="20"/>
                <w:szCs w:val="20"/>
              </w:rPr>
            </w:pPr>
            <w:r w:rsidRPr="006B12E0">
              <w:rPr>
                <w:rFonts w:ascii="Arial" w:hAnsi="Arial"/>
                <w:sz w:val="20"/>
                <w:szCs w:val="20"/>
              </w:rPr>
              <w:t>Professional development (PRDEV) courses for faculty and staff (0 unit, non-FTES courses).</w:t>
            </w:r>
          </w:p>
        </w:tc>
      </w:tr>
    </w:tbl>
    <w:p w:rsidR="00A04131" w:rsidRPr="00540EBE" w:rsidRDefault="00A04131" w:rsidP="00A04131">
      <w:pPr>
        <w:rPr>
          <w:sz w:val="20"/>
          <w:szCs w:val="20"/>
        </w:rPr>
      </w:pPr>
    </w:p>
    <w:p w:rsidR="00A04131" w:rsidRPr="00540EBE" w:rsidRDefault="00A04131" w:rsidP="00A04131">
      <w:pPr>
        <w:rPr>
          <w:rFonts w:ascii="Arial" w:hAnsi="Arial"/>
          <w:sz w:val="20"/>
          <w:szCs w:val="20"/>
        </w:rPr>
      </w:pPr>
    </w:p>
    <w:p w:rsidR="00A04131" w:rsidRPr="00540EBE" w:rsidRDefault="00A04131" w:rsidP="00A04131">
      <w:pPr>
        <w:rPr>
          <w:rFonts w:ascii="Arial" w:hAnsi="Arial"/>
          <w:sz w:val="20"/>
          <w:szCs w:val="20"/>
        </w:rPr>
      </w:pPr>
      <w:r w:rsidRPr="00540EBE">
        <w:rPr>
          <w:rFonts w:ascii="Arial" w:hAnsi="Arial"/>
          <w:sz w:val="20"/>
          <w:szCs w:val="20"/>
        </w:rPr>
        <w:t>*    LRNRE Resources (LRNRE) courses numbered below 200, while transferable to CSU and/or UC, are not degree applicable, i.e., they are not required for a degree or certificate and do not satisfy general education requirements.</w:t>
      </w:r>
    </w:p>
    <w:p w:rsidR="00EC6001" w:rsidRDefault="00EC6001"/>
    <w:sectPr w:rsidR="00EC6001" w:rsidSect="00EC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04131"/>
    <w:rsid w:val="00A04131"/>
    <w:rsid w:val="00E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04131"/>
    <w:pPr>
      <w:keepNext/>
      <w:jc w:val="center"/>
      <w:outlineLvl w:val="0"/>
    </w:pPr>
    <w:rPr>
      <w:rFonts w:eastAsia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04131"/>
    <w:pPr>
      <w:keepNext/>
      <w:jc w:val="center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A04131"/>
    <w:pPr>
      <w:keepNext/>
      <w:outlineLvl w:val="4"/>
    </w:pPr>
    <w:rPr>
      <w:rFonts w:eastAsia="Times New Roman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13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0413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04131"/>
    <w:rPr>
      <w:rFonts w:ascii="Times New Roman" w:eastAsia="Times New Roman" w:hAnsi="Times New Roman" w:cs="Times New Roman"/>
      <w:color w:val="000000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abohorquez</dc:creator>
  <cp:keywords/>
  <dc:description/>
  <cp:lastModifiedBy>abohorquez</cp:lastModifiedBy>
  <cp:revision>1</cp:revision>
  <dcterms:created xsi:type="dcterms:W3CDTF">2010-12-17T00:52:00Z</dcterms:created>
  <dcterms:modified xsi:type="dcterms:W3CDTF">2010-12-17T00:52:00Z</dcterms:modified>
</cp:coreProperties>
</file>