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7DB9" w14:textId="77777777" w:rsidR="00581E7E" w:rsidRDefault="00581E7E" w:rsidP="00581E7E">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Chapter 1.</w:t>
      </w:r>
    </w:p>
    <w:p w14:paraId="17F9DE4D" w14:textId="77777777" w:rsidR="00581E7E" w:rsidRDefault="00581E7E" w:rsidP="00581E7E">
      <w:pPr>
        <w:spacing w:after="0"/>
        <w:jc w:val="center"/>
        <w:rPr>
          <w:rFonts w:ascii="Times New Roman" w:hAnsi="Times New Roman" w:cs="Times New Roman"/>
          <w:sz w:val="24"/>
          <w:szCs w:val="24"/>
        </w:rPr>
      </w:pPr>
    </w:p>
    <w:p w14:paraId="67D1FD5F" w14:textId="77777777" w:rsidR="00581E7E" w:rsidRDefault="00581E7E" w:rsidP="00581E7E">
      <w:pPr>
        <w:spacing w:after="0"/>
        <w:jc w:val="center"/>
        <w:rPr>
          <w:rFonts w:ascii="Times New Roman" w:hAnsi="Times New Roman" w:cs="Times New Roman"/>
          <w:sz w:val="24"/>
          <w:szCs w:val="24"/>
        </w:rPr>
      </w:pPr>
      <w:r>
        <w:rPr>
          <w:rFonts w:ascii="Times New Roman" w:hAnsi="Times New Roman" w:cs="Times New Roman"/>
          <w:sz w:val="24"/>
          <w:szCs w:val="24"/>
        </w:rPr>
        <w:t>Introduction</w:t>
      </w:r>
    </w:p>
    <w:p w14:paraId="7DF217B3" w14:textId="77777777" w:rsidR="00581E7E" w:rsidRDefault="00581E7E" w:rsidP="00581E7E">
      <w:pPr>
        <w:spacing w:after="0"/>
        <w:jc w:val="center"/>
        <w:rPr>
          <w:rFonts w:ascii="Times New Roman" w:hAnsi="Times New Roman" w:cs="Times New Roman"/>
          <w:sz w:val="24"/>
          <w:szCs w:val="24"/>
        </w:rPr>
      </w:pPr>
    </w:p>
    <w:p w14:paraId="4B842756" w14:textId="77777777" w:rsidR="00581E7E" w:rsidRDefault="00581E7E" w:rsidP="00581E7E">
      <w:pPr>
        <w:spacing w:after="0"/>
        <w:rPr>
          <w:rFonts w:ascii="Times New Roman" w:hAnsi="Times New Roman" w:cs="Times New Roman"/>
          <w:b/>
          <w:sz w:val="24"/>
          <w:szCs w:val="24"/>
        </w:rPr>
      </w:pPr>
      <w:r w:rsidRPr="000158A6">
        <w:rPr>
          <w:rFonts w:ascii="Times New Roman" w:hAnsi="Times New Roman" w:cs="Times New Roman"/>
          <w:b/>
          <w:sz w:val="24"/>
          <w:szCs w:val="24"/>
        </w:rPr>
        <w:t>The District and its Service Area</w:t>
      </w:r>
    </w:p>
    <w:p w14:paraId="27E5EB15" w14:textId="77777777" w:rsidR="00581E7E" w:rsidRPr="000158A6" w:rsidRDefault="00581E7E" w:rsidP="00581E7E">
      <w:pPr>
        <w:spacing w:after="0"/>
        <w:rPr>
          <w:rFonts w:ascii="Times New Roman" w:hAnsi="Times New Roman" w:cs="Times New Roman"/>
          <w:b/>
          <w:sz w:val="24"/>
          <w:szCs w:val="24"/>
        </w:rPr>
      </w:pPr>
    </w:p>
    <w:p w14:paraId="3A783A21" w14:textId="6038DB56" w:rsidR="00581E7E" w:rsidRDefault="00581E7E" w:rsidP="00581E7E">
      <w:pPr>
        <w:spacing w:after="0"/>
        <w:rPr>
          <w:rFonts w:ascii="Times New Roman" w:hAnsi="Times New Roman" w:cs="Times New Roman"/>
          <w:sz w:val="24"/>
          <w:szCs w:val="24"/>
        </w:rPr>
      </w:pPr>
      <w:r w:rsidRPr="000158A6">
        <w:rPr>
          <w:rFonts w:ascii="Times New Roman" w:hAnsi="Times New Roman" w:cs="Times New Roman"/>
          <w:b/>
          <w:sz w:val="24"/>
          <w:szCs w:val="24"/>
        </w:rPr>
        <w:t>About the District.</w:t>
      </w:r>
      <w:r>
        <w:rPr>
          <w:rFonts w:ascii="Times New Roman" w:hAnsi="Times New Roman" w:cs="Times New Roman"/>
          <w:sz w:val="24"/>
          <w:szCs w:val="24"/>
        </w:rPr>
        <w:t xml:space="preserve">  </w:t>
      </w:r>
      <w:r w:rsidRPr="009962FD">
        <w:rPr>
          <w:rFonts w:ascii="Times New Roman" w:hAnsi="Times New Roman" w:cs="Times New Roman"/>
          <w:sz w:val="24"/>
          <w:szCs w:val="24"/>
        </w:rPr>
        <w:t>Founded in 1964, the Peralta Community College District (PCCD) is a collaborative community of colleges comprised of Berkeley City College</w:t>
      </w:r>
      <w:r>
        <w:rPr>
          <w:rFonts w:ascii="Times New Roman" w:hAnsi="Times New Roman" w:cs="Times New Roman"/>
          <w:sz w:val="24"/>
          <w:szCs w:val="24"/>
        </w:rPr>
        <w:t xml:space="preserve"> (BCC)</w:t>
      </w:r>
      <w:r w:rsidRPr="009962FD">
        <w:rPr>
          <w:rFonts w:ascii="Times New Roman" w:hAnsi="Times New Roman" w:cs="Times New Roman"/>
          <w:sz w:val="24"/>
          <w:szCs w:val="24"/>
        </w:rPr>
        <w:t>, College of Alameda</w:t>
      </w:r>
      <w:r>
        <w:rPr>
          <w:rFonts w:ascii="Times New Roman" w:hAnsi="Times New Roman" w:cs="Times New Roman"/>
          <w:sz w:val="24"/>
          <w:szCs w:val="24"/>
        </w:rPr>
        <w:t xml:space="preserve"> (COA)</w:t>
      </w:r>
      <w:r w:rsidRPr="009962FD">
        <w:rPr>
          <w:rFonts w:ascii="Times New Roman" w:hAnsi="Times New Roman" w:cs="Times New Roman"/>
          <w:sz w:val="24"/>
          <w:szCs w:val="24"/>
        </w:rPr>
        <w:t xml:space="preserve">, and Laney and Merritt colleges in </w:t>
      </w:r>
      <w:r>
        <w:rPr>
          <w:rFonts w:ascii="Times New Roman" w:hAnsi="Times New Roman" w:cs="Times New Roman"/>
          <w:sz w:val="24"/>
          <w:szCs w:val="24"/>
        </w:rPr>
        <w:t>Alameda County</w:t>
      </w:r>
      <w:r w:rsidRPr="009962FD">
        <w:rPr>
          <w:rFonts w:ascii="Times New Roman" w:hAnsi="Times New Roman" w:cs="Times New Roman"/>
          <w:sz w:val="24"/>
          <w:szCs w:val="24"/>
        </w:rPr>
        <w:t xml:space="preserve">, </w:t>
      </w:r>
      <w:r>
        <w:rPr>
          <w:rFonts w:ascii="Times New Roman" w:hAnsi="Times New Roman" w:cs="Times New Roman"/>
          <w:sz w:val="24"/>
          <w:szCs w:val="24"/>
        </w:rPr>
        <w:t>California.</w:t>
      </w:r>
      <w:r w:rsidRPr="009962FD">
        <w:rPr>
          <w:rFonts w:ascii="Times New Roman" w:hAnsi="Times New Roman" w:cs="Times New Roman"/>
          <w:sz w:val="24"/>
          <w:szCs w:val="24"/>
        </w:rPr>
        <w:t xml:space="preserve"> The </w:t>
      </w:r>
      <w:r>
        <w:rPr>
          <w:rFonts w:ascii="Times New Roman" w:hAnsi="Times New Roman" w:cs="Times New Roman"/>
          <w:sz w:val="24"/>
          <w:szCs w:val="24"/>
        </w:rPr>
        <w:t xml:space="preserve">four </w:t>
      </w:r>
      <w:r w:rsidRPr="009962FD">
        <w:rPr>
          <w:rFonts w:ascii="Times New Roman" w:hAnsi="Times New Roman" w:cs="Times New Roman"/>
          <w:sz w:val="24"/>
          <w:szCs w:val="24"/>
        </w:rPr>
        <w:t>Peralta Colleges provide a dynamic multicultural learning environment offering accessible, high-quality educational programs and services, including two-year degrees, certificates and university transfer program</w:t>
      </w:r>
      <w:r>
        <w:rPr>
          <w:rFonts w:ascii="Times New Roman" w:hAnsi="Times New Roman" w:cs="Times New Roman"/>
          <w:sz w:val="24"/>
          <w:szCs w:val="24"/>
        </w:rPr>
        <w:t xml:space="preserve">s, to students from the San Francisco Bay Area.  According to the 2000 Census, </w:t>
      </w:r>
      <w:hyperlink r:id="rId8" w:history="1">
        <w:r w:rsidRPr="003C7A2F">
          <w:rPr>
            <w:rStyle w:val="Hyperlink"/>
            <w:rFonts w:ascii="Times New Roman" w:hAnsi="Times New Roman" w:cs="Times New Roman"/>
            <w:sz w:val="24"/>
            <w:szCs w:val="24"/>
          </w:rPr>
          <w:t>PCCD’s primary service area</w:t>
        </w:r>
      </w:hyperlink>
      <w:r>
        <w:rPr>
          <w:rFonts w:ascii="Times New Roman" w:hAnsi="Times New Roman" w:cs="Times New Roman"/>
          <w:sz w:val="24"/>
          <w:szCs w:val="24"/>
        </w:rPr>
        <w:t xml:space="preserve"> had over 615,000 residents. </w:t>
      </w:r>
      <w:r w:rsidRPr="00BC78AB">
        <w:rPr>
          <w:rFonts w:ascii="Times New Roman" w:hAnsi="Times New Roman" w:cs="Times New Roman"/>
          <w:sz w:val="24"/>
          <w:szCs w:val="24"/>
        </w:rPr>
        <w:t>The District</w:t>
      </w:r>
      <w:r>
        <w:rPr>
          <w:rFonts w:ascii="Times New Roman" w:hAnsi="Times New Roman" w:cs="Times New Roman"/>
          <w:sz w:val="24"/>
          <w:szCs w:val="24"/>
        </w:rPr>
        <w:t xml:space="preserve"> </w:t>
      </w:r>
      <w:r w:rsidRPr="00BC78AB">
        <w:rPr>
          <w:rFonts w:ascii="Times New Roman" w:hAnsi="Times New Roman" w:cs="Times New Roman"/>
          <w:sz w:val="24"/>
          <w:szCs w:val="24"/>
        </w:rPr>
        <w:t>has a reputation for developing effective approaches to serv</w:t>
      </w:r>
      <w:r>
        <w:rPr>
          <w:rFonts w:ascii="Times New Roman" w:hAnsi="Times New Roman" w:cs="Times New Roman"/>
          <w:sz w:val="24"/>
          <w:szCs w:val="24"/>
        </w:rPr>
        <w:t>e</w:t>
      </w:r>
      <w:r w:rsidRPr="00BC78AB">
        <w:rPr>
          <w:rFonts w:ascii="Times New Roman" w:hAnsi="Times New Roman" w:cs="Times New Roman"/>
          <w:sz w:val="24"/>
          <w:szCs w:val="24"/>
        </w:rPr>
        <w:t xml:space="preserve"> the varied </w:t>
      </w:r>
      <w:r>
        <w:rPr>
          <w:rFonts w:ascii="Times New Roman" w:hAnsi="Times New Roman" w:cs="Times New Roman"/>
          <w:sz w:val="24"/>
          <w:szCs w:val="24"/>
        </w:rPr>
        <w:t xml:space="preserve">educational and career preparation </w:t>
      </w:r>
      <w:r w:rsidRPr="00BC78AB">
        <w:rPr>
          <w:rFonts w:ascii="Times New Roman" w:hAnsi="Times New Roman" w:cs="Times New Roman"/>
          <w:sz w:val="24"/>
          <w:szCs w:val="24"/>
        </w:rPr>
        <w:t>interests and needs of its vibrant</w:t>
      </w:r>
      <w:r>
        <w:rPr>
          <w:rFonts w:ascii="Times New Roman" w:hAnsi="Times New Roman" w:cs="Times New Roman"/>
          <w:sz w:val="24"/>
          <w:szCs w:val="24"/>
        </w:rPr>
        <w:t xml:space="preserve"> </w:t>
      </w:r>
      <w:r w:rsidRPr="00BC78AB">
        <w:rPr>
          <w:rFonts w:ascii="Times New Roman" w:hAnsi="Times New Roman" w:cs="Times New Roman"/>
          <w:sz w:val="24"/>
          <w:szCs w:val="24"/>
        </w:rPr>
        <w:t xml:space="preserve">community. The District </w:t>
      </w:r>
      <w:r w:rsidR="003B5B82">
        <w:rPr>
          <w:rFonts w:ascii="Times New Roman" w:hAnsi="Times New Roman" w:cs="Times New Roman"/>
          <w:sz w:val="24"/>
          <w:szCs w:val="24"/>
        </w:rPr>
        <w:t xml:space="preserve">in general </w:t>
      </w:r>
      <w:r w:rsidRPr="00BC78AB">
        <w:rPr>
          <w:rFonts w:ascii="Times New Roman" w:hAnsi="Times New Roman" w:cs="Times New Roman"/>
          <w:sz w:val="24"/>
          <w:szCs w:val="24"/>
        </w:rPr>
        <w:t xml:space="preserve">serves </w:t>
      </w:r>
      <w:r>
        <w:rPr>
          <w:rFonts w:ascii="Times New Roman" w:hAnsi="Times New Roman" w:cs="Times New Roman"/>
          <w:sz w:val="24"/>
          <w:szCs w:val="24"/>
        </w:rPr>
        <w:t xml:space="preserve">over 25,000 students a semester </w:t>
      </w:r>
      <w:r w:rsidR="003B5B82">
        <w:rPr>
          <w:rFonts w:ascii="Times New Roman" w:hAnsi="Times New Roman" w:cs="Times New Roman"/>
          <w:sz w:val="24"/>
          <w:szCs w:val="24"/>
        </w:rPr>
        <w:t xml:space="preserve">while </w:t>
      </w:r>
      <w:r>
        <w:rPr>
          <w:rFonts w:ascii="Times New Roman" w:hAnsi="Times New Roman" w:cs="Times New Roman"/>
          <w:sz w:val="24"/>
          <w:szCs w:val="24"/>
        </w:rPr>
        <w:t xml:space="preserve">the majority of whom (68%) are part time. </w:t>
      </w:r>
      <w:r w:rsidRPr="007A1D73">
        <w:rPr>
          <w:rFonts w:ascii="Times New Roman" w:hAnsi="Times New Roman" w:cs="Times New Roman"/>
          <w:sz w:val="24"/>
          <w:szCs w:val="24"/>
        </w:rPr>
        <w:t>PCCD’s student pop</w:t>
      </w:r>
      <w:r>
        <w:rPr>
          <w:rFonts w:ascii="Times New Roman" w:hAnsi="Times New Roman" w:cs="Times New Roman"/>
          <w:sz w:val="24"/>
          <w:szCs w:val="24"/>
        </w:rPr>
        <w:t xml:space="preserve">ulation is very diverse and mirrors the surrounding community. Roughly 28% are </w:t>
      </w:r>
      <w:r w:rsidR="000930C3">
        <w:rPr>
          <w:rFonts w:ascii="Times New Roman" w:hAnsi="Times New Roman" w:cs="Times New Roman"/>
          <w:sz w:val="24"/>
          <w:szCs w:val="24"/>
        </w:rPr>
        <w:t>Hispanic</w:t>
      </w:r>
      <w:r w:rsidR="003B5B82">
        <w:rPr>
          <w:rFonts w:ascii="Times New Roman" w:hAnsi="Times New Roman" w:cs="Times New Roman"/>
          <w:sz w:val="24"/>
          <w:szCs w:val="24"/>
        </w:rPr>
        <w:t>/Latino</w:t>
      </w:r>
      <w:r>
        <w:rPr>
          <w:rFonts w:ascii="Times New Roman" w:hAnsi="Times New Roman" w:cs="Times New Roman"/>
          <w:sz w:val="24"/>
          <w:szCs w:val="24"/>
        </w:rPr>
        <w:t>, 24% Asian American, 20% African American, 17% white (non-Hispanic) a</w:t>
      </w:r>
      <w:r w:rsidR="002A7EE7">
        <w:rPr>
          <w:rFonts w:ascii="Times New Roman" w:hAnsi="Times New Roman" w:cs="Times New Roman"/>
          <w:sz w:val="24"/>
          <w:szCs w:val="24"/>
        </w:rPr>
        <w:t xml:space="preserve">nd remaining as displayed </w:t>
      </w:r>
      <w:r w:rsidR="002353C5">
        <w:rPr>
          <w:rFonts w:ascii="Times New Roman" w:hAnsi="Times New Roman" w:cs="Times New Roman"/>
          <w:sz w:val="24"/>
          <w:szCs w:val="24"/>
        </w:rPr>
        <w:t>in Chart X below.</w:t>
      </w:r>
    </w:p>
    <w:p w14:paraId="00435394" w14:textId="36B8E8A9" w:rsidR="002353C5" w:rsidRDefault="002353C5" w:rsidP="00581E7E">
      <w:pPr>
        <w:spacing w:after="0"/>
        <w:rPr>
          <w:rFonts w:ascii="Times New Roman" w:hAnsi="Times New Roman" w:cs="Times New Roman"/>
          <w:sz w:val="24"/>
          <w:szCs w:val="24"/>
        </w:rPr>
      </w:pPr>
    </w:p>
    <w:p w14:paraId="6EC26712" w14:textId="77777777" w:rsidR="002353C5" w:rsidRDefault="002353C5" w:rsidP="00581E7E">
      <w:pPr>
        <w:spacing w:after="0"/>
        <w:rPr>
          <w:rFonts w:ascii="Times New Roman" w:hAnsi="Times New Roman" w:cs="Times New Roman"/>
          <w:sz w:val="24"/>
          <w:szCs w:val="24"/>
        </w:rPr>
      </w:pPr>
    </w:p>
    <w:p w14:paraId="0F9E07F3" w14:textId="23EC2E4C" w:rsidR="002A7EE7" w:rsidRDefault="002353C5" w:rsidP="002353C5">
      <w:pPr>
        <w:spacing w:after="0"/>
        <w:jc w:val="center"/>
        <w:rPr>
          <w:rFonts w:ascii="Times New Roman" w:hAnsi="Times New Roman" w:cs="Times New Roman"/>
          <w:sz w:val="24"/>
          <w:szCs w:val="24"/>
        </w:rPr>
      </w:pPr>
      <w:r>
        <w:rPr>
          <w:rFonts w:ascii="Times New Roman" w:hAnsi="Times New Roman" w:cs="Times New Roman"/>
          <w:sz w:val="24"/>
          <w:szCs w:val="24"/>
        </w:rPr>
        <w:t>Chart X.</w:t>
      </w:r>
    </w:p>
    <w:p w14:paraId="70062955" w14:textId="511441D7" w:rsidR="002A7EE7" w:rsidRDefault="002A7EE7" w:rsidP="00581E7E">
      <w:pPr>
        <w:spacing w:after="0"/>
        <w:rPr>
          <w:rFonts w:ascii="Times New Roman" w:hAnsi="Times New Roman" w:cs="Times New Roman"/>
          <w:sz w:val="24"/>
          <w:szCs w:val="24"/>
        </w:rPr>
      </w:pPr>
      <w:r>
        <w:rPr>
          <w:noProof/>
        </w:rPr>
        <w:drawing>
          <wp:inline distT="0" distB="0" distL="0" distR="0" wp14:anchorId="112EC4E7" wp14:editId="0D2AFF63">
            <wp:extent cx="5943600" cy="2927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27350"/>
                    </a:xfrm>
                    <a:prstGeom prst="rect">
                      <a:avLst/>
                    </a:prstGeom>
                  </pic:spPr>
                </pic:pic>
              </a:graphicData>
            </a:graphic>
          </wp:inline>
        </w:drawing>
      </w:r>
    </w:p>
    <w:p w14:paraId="315AD1FD" w14:textId="77777777" w:rsidR="00581E7E" w:rsidRDefault="00581E7E" w:rsidP="00581E7E">
      <w:pPr>
        <w:spacing w:after="0"/>
        <w:rPr>
          <w:rFonts w:ascii="Times New Roman" w:hAnsi="Times New Roman" w:cs="Times New Roman"/>
          <w:sz w:val="24"/>
          <w:szCs w:val="24"/>
        </w:rPr>
      </w:pPr>
    </w:p>
    <w:p w14:paraId="0436B420" w14:textId="77777777" w:rsidR="00581E7E" w:rsidRPr="00BC78AB" w:rsidRDefault="00581E7E" w:rsidP="00581E7E">
      <w:pPr>
        <w:spacing w:after="0"/>
        <w:rPr>
          <w:rFonts w:ascii="Times New Roman" w:hAnsi="Times New Roman" w:cs="Times New Roman"/>
          <w:sz w:val="24"/>
          <w:szCs w:val="24"/>
        </w:rPr>
      </w:pPr>
    </w:p>
    <w:p w14:paraId="16D7B7BA" w14:textId="77777777" w:rsidR="002353C5" w:rsidRDefault="002353C5" w:rsidP="000930C3">
      <w:pPr>
        <w:spacing w:after="0"/>
        <w:rPr>
          <w:rFonts w:ascii="Times New Roman" w:hAnsi="Times New Roman" w:cs="Times New Roman"/>
          <w:sz w:val="24"/>
          <w:szCs w:val="24"/>
        </w:rPr>
      </w:pPr>
    </w:p>
    <w:p w14:paraId="394891D5" w14:textId="77777777" w:rsidR="002353C5" w:rsidRDefault="002353C5" w:rsidP="000930C3">
      <w:pPr>
        <w:spacing w:after="0"/>
        <w:rPr>
          <w:rFonts w:ascii="Times New Roman" w:hAnsi="Times New Roman" w:cs="Times New Roman"/>
          <w:sz w:val="24"/>
          <w:szCs w:val="24"/>
        </w:rPr>
      </w:pPr>
    </w:p>
    <w:p w14:paraId="5C8F1527" w14:textId="77777777" w:rsidR="002353C5" w:rsidRDefault="002353C5" w:rsidP="000930C3">
      <w:pPr>
        <w:spacing w:after="0"/>
        <w:rPr>
          <w:rFonts w:ascii="Times New Roman" w:hAnsi="Times New Roman" w:cs="Times New Roman"/>
          <w:sz w:val="24"/>
          <w:szCs w:val="24"/>
        </w:rPr>
      </w:pPr>
    </w:p>
    <w:p w14:paraId="41A8E19A" w14:textId="00238BAF" w:rsidR="00581E7E" w:rsidRPr="000930C3" w:rsidRDefault="00581E7E" w:rsidP="000930C3">
      <w:pPr>
        <w:spacing w:after="0"/>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The district’s </w:t>
      </w:r>
      <w:r w:rsidR="000930C3">
        <w:rPr>
          <w:rFonts w:ascii="Times New Roman" w:hAnsi="Times New Roman" w:cs="Times New Roman"/>
          <w:sz w:val="24"/>
          <w:szCs w:val="24"/>
        </w:rPr>
        <w:t xml:space="preserve">total </w:t>
      </w:r>
      <w:r>
        <w:rPr>
          <w:rFonts w:ascii="Times New Roman" w:hAnsi="Times New Roman" w:cs="Times New Roman"/>
          <w:sz w:val="24"/>
          <w:szCs w:val="24"/>
        </w:rPr>
        <w:t>full-time equivalent student (FTES)</w:t>
      </w:r>
      <w:r w:rsidR="00E40436">
        <w:rPr>
          <w:rFonts w:ascii="Times New Roman" w:hAnsi="Times New Roman" w:cs="Times New Roman"/>
          <w:sz w:val="24"/>
          <w:szCs w:val="24"/>
        </w:rPr>
        <w:t xml:space="preserve"> </w:t>
      </w:r>
      <w:r w:rsidR="00E4043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over the </w:t>
      </w:r>
      <w:r w:rsidR="002A7EE7" w:rsidRPr="00E40436">
        <w:rPr>
          <w:rFonts w:ascii="Times New Roman" w:hAnsi="Times New Roman" w:cs="Times New Roman"/>
          <w:color w:val="000000" w:themeColor="text1"/>
          <w:sz w:val="24"/>
          <w:szCs w:val="24"/>
        </w:rPr>
        <w:t>last ten</w:t>
      </w:r>
      <w:r w:rsidRPr="00E40436">
        <w:rPr>
          <w:rFonts w:ascii="Times New Roman" w:hAnsi="Times New Roman" w:cs="Times New Roman"/>
          <w:color w:val="000000" w:themeColor="text1"/>
          <w:sz w:val="24"/>
          <w:szCs w:val="24"/>
        </w:rPr>
        <w:t xml:space="preserve"> years </w:t>
      </w:r>
      <w:r w:rsidR="000930C3" w:rsidRPr="00E40436">
        <w:rPr>
          <w:rFonts w:ascii="Times New Roman" w:hAnsi="Times New Roman" w:cs="Times New Roman"/>
          <w:color w:val="000000" w:themeColor="text1"/>
          <w:sz w:val="24"/>
          <w:szCs w:val="24"/>
        </w:rPr>
        <w:t>dropped from its peak, 24,252 in AY 2009/10 to 20,307 in AY 2017/18</w:t>
      </w:r>
      <w:r w:rsidR="00D64266">
        <w:rPr>
          <w:rFonts w:ascii="Times New Roman" w:hAnsi="Times New Roman" w:cs="Times New Roman"/>
          <w:color w:val="000000" w:themeColor="text1"/>
          <w:sz w:val="24"/>
          <w:szCs w:val="24"/>
        </w:rPr>
        <w:t>; it was</w:t>
      </w:r>
      <w:r w:rsidR="00D1785A">
        <w:rPr>
          <w:rFonts w:ascii="Times New Roman" w:hAnsi="Times New Roman" w:cs="Times New Roman"/>
          <w:color w:val="000000" w:themeColor="text1"/>
          <w:sz w:val="24"/>
          <w:szCs w:val="24"/>
        </w:rPr>
        <w:t xml:space="preserve"> a 16.2% decline</w:t>
      </w:r>
      <w:r w:rsidRPr="00E4043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Chart X).  </w:t>
      </w:r>
    </w:p>
    <w:p w14:paraId="30E887BA" w14:textId="77777777" w:rsidR="002353C5" w:rsidRDefault="002353C5" w:rsidP="00581E7E">
      <w:pPr>
        <w:jc w:val="center"/>
        <w:rPr>
          <w:rFonts w:ascii="Times New Roman" w:hAnsi="Times New Roman" w:cs="Times New Roman"/>
          <w:sz w:val="24"/>
          <w:szCs w:val="24"/>
        </w:rPr>
      </w:pPr>
    </w:p>
    <w:p w14:paraId="06E3B0B5" w14:textId="782B51A8" w:rsidR="00581E7E" w:rsidRDefault="00581E7E" w:rsidP="00581E7E">
      <w:pPr>
        <w:jc w:val="center"/>
        <w:rPr>
          <w:rFonts w:ascii="Times New Roman" w:hAnsi="Times New Roman" w:cs="Times New Roman"/>
          <w:sz w:val="24"/>
          <w:szCs w:val="24"/>
        </w:rPr>
      </w:pPr>
      <w:r>
        <w:rPr>
          <w:rFonts w:ascii="Times New Roman" w:hAnsi="Times New Roman" w:cs="Times New Roman"/>
          <w:sz w:val="24"/>
          <w:szCs w:val="24"/>
        </w:rPr>
        <w:t>Chart X</w:t>
      </w:r>
    </w:p>
    <w:p w14:paraId="649F1EC1" w14:textId="77777777" w:rsidR="000930C3" w:rsidRDefault="000930C3" w:rsidP="000930C3">
      <w:pPr>
        <w:spacing w:after="0"/>
        <w:jc w:val="center"/>
        <w:rPr>
          <w:rFonts w:ascii="Times New Roman" w:hAnsi="Times New Roman" w:cs="Times New Roman"/>
          <w:sz w:val="24"/>
          <w:szCs w:val="24"/>
        </w:rPr>
      </w:pPr>
      <w:r>
        <w:rPr>
          <w:rFonts w:ascii="Times New Roman" w:hAnsi="Times New Roman" w:cs="Times New Roman"/>
          <w:sz w:val="24"/>
          <w:szCs w:val="24"/>
        </w:rPr>
        <w:t xml:space="preserve">Total </w:t>
      </w:r>
      <w:r w:rsidR="00581E7E">
        <w:rPr>
          <w:rFonts w:ascii="Times New Roman" w:hAnsi="Times New Roman" w:cs="Times New Roman"/>
          <w:sz w:val="24"/>
          <w:szCs w:val="24"/>
        </w:rPr>
        <w:t>PCCD FTES</w:t>
      </w:r>
      <w:r>
        <w:rPr>
          <w:rFonts w:ascii="Times New Roman" w:hAnsi="Times New Roman" w:cs="Times New Roman"/>
          <w:sz w:val="24"/>
          <w:szCs w:val="24"/>
        </w:rPr>
        <w:t>, Ten Year Trend</w:t>
      </w:r>
    </w:p>
    <w:p w14:paraId="67FEC879" w14:textId="14498C7C" w:rsidR="00581E7E" w:rsidRDefault="000930C3" w:rsidP="000930C3">
      <w:pPr>
        <w:spacing w:after="0"/>
        <w:jc w:val="center"/>
        <w:rPr>
          <w:rFonts w:ascii="Times New Roman" w:hAnsi="Times New Roman" w:cs="Times New Roman"/>
          <w:b/>
          <w:color w:val="FF0000"/>
          <w:sz w:val="24"/>
          <w:szCs w:val="24"/>
        </w:rPr>
      </w:pPr>
      <w:r>
        <w:rPr>
          <w:rFonts w:ascii="Times New Roman" w:hAnsi="Times New Roman" w:cs="Times New Roman"/>
          <w:sz w:val="24"/>
          <w:szCs w:val="24"/>
        </w:rPr>
        <w:t>between AY 2008/09 and AY 2017/18</w:t>
      </w:r>
      <w:r w:rsidR="00581E7E">
        <w:rPr>
          <w:rFonts w:ascii="Times New Roman" w:hAnsi="Times New Roman" w:cs="Times New Roman"/>
          <w:sz w:val="24"/>
          <w:szCs w:val="24"/>
        </w:rPr>
        <w:t xml:space="preserve"> </w:t>
      </w:r>
    </w:p>
    <w:p w14:paraId="0E2DBB14" w14:textId="0DE7A7F1" w:rsidR="00F1026A" w:rsidRDefault="00F1026A" w:rsidP="00581E7E">
      <w:pPr>
        <w:jc w:val="center"/>
        <w:rPr>
          <w:rFonts w:ascii="Times New Roman" w:hAnsi="Times New Roman" w:cs="Times New Roman"/>
          <w:b/>
          <w:color w:val="FF0000"/>
          <w:sz w:val="24"/>
          <w:szCs w:val="24"/>
        </w:rPr>
      </w:pPr>
    </w:p>
    <w:p w14:paraId="0B2274B0" w14:textId="0171288D" w:rsidR="00F1026A" w:rsidRPr="00463B08" w:rsidRDefault="00F1026A" w:rsidP="000930C3">
      <w:pPr>
        <w:spacing w:after="0"/>
        <w:jc w:val="center"/>
        <w:rPr>
          <w:rFonts w:ascii="Times New Roman" w:hAnsi="Times New Roman" w:cs="Times New Roman"/>
          <w:b/>
          <w:color w:val="FF0000"/>
          <w:sz w:val="24"/>
          <w:szCs w:val="24"/>
        </w:rPr>
      </w:pPr>
      <w:r>
        <w:rPr>
          <w:noProof/>
        </w:rPr>
        <w:drawing>
          <wp:inline distT="0" distB="0" distL="0" distR="0" wp14:anchorId="6D2D5281" wp14:editId="7EC32249">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44598C" w14:textId="18DB7DBA" w:rsidR="00581E7E" w:rsidRPr="00C56C86" w:rsidRDefault="000930C3" w:rsidP="000930C3">
      <w:pPr>
        <w:spacing w:after="0"/>
        <w:jc w:val="center"/>
        <w:rPr>
          <w:rFonts w:ascii="Times New Roman" w:hAnsi="Times New Roman" w:cs="Times New Roman"/>
          <w:sz w:val="20"/>
          <w:szCs w:val="20"/>
        </w:rPr>
      </w:pPr>
      <w:r>
        <w:rPr>
          <w:rFonts w:ascii="Times New Roman" w:hAnsi="Times New Roman" w:cs="Times New Roman"/>
          <w:sz w:val="20"/>
          <w:szCs w:val="20"/>
        </w:rPr>
        <w:t>S</w:t>
      </w:r>
      <w:r w:rsidR="00581E7E" w:rsidRPr="00C56C86">
        <w:rPr>
          <w:rFonts w:ascii="Times New Roman" w:hAnsi="Times New Roman" w:cs="Times New Roman"/>
          <w:sz w:val="20"/>
          <w:szCs w:val="20"/>
        </w:rPr>
        <w:t>ource: CCCCO Data Mart</w:t>
      </w:r>
    </w:p>
    <w:p w14:paraId="7B2C11F1" w14:textId="77777777" w:rsidR="00581E7E" w:rsidRDefault="00581E7E" w:rsidP="00581E7E">
      <w:pPr>
        <w:rPr>
          <w:rFonts w:ascii="Times New Roman" w:hAnsi="Times New Roman" w:cs="Times New Roman"/>
          <w:b/>
          <w:sz w:val="24"/>
          <w:szCs w:val="24"/>
        </w:rPr>
      </w:pPr>
    </w:p>
    <w:p w14:paraId="64B952B2" w14:textId="77777777" w:rsidR="00581E7E" w:rsidRDefault="00581E7E" w:rsidP="00581E7E">
      <w:pPr>
        <w:rPr>
          <w:rFonts w:ascii="Times New Roman" w:hAnsi="Times New Roman" w:cs="Times New Roman"/>
          <w:sz w:val="24"/>
          <w:szCs w:val="24"/>
        </w:rPr>
      </w:pPr>
      <w:r>
        <w:rPr>
          <w:rFonts w:ascii="Times New Roman" w:hAnsi="Times New Roman" w:cs="Times New Roman"/>
          <w:b/>
          <w:sz w:val="24"/>
          <w:szCs w:val="24"/>
        </w:rPr>
        <w:t>PC</w:t>
      </w:r>
      <w:r w:rsidRPr="000158A6">
        <w:rPr>
          <w:rFonts w:ascii="Times New Roman" w:hAnsi="Times New Roman" w:cs="Times New Roman"/>
          <w:b/>
          <w:sz w:val="24"/>
          <w:szCs w:val="24"/>
        </w:rPr>
        <w:t>CD’s Major Service Area</w:t>
      </w:r>
      <w:r>
        <w:rPr>
          <w:rFonts w:ascii="Times New Roman" w:hAnsi="Times New Roman" w:cs="Times New Roman"/>
          <w:sz w:val="24"/>
          <w:szCs w:val="24"/>
        </w:rPr>
        <w:t>.  The four PCCD colleges are easily accessible for current and potential students from the Bay Area.  While both BCC and Laney are half a block away from a Bay Area Rapid Transit (BART) station, COA and Merritt are only one AC Transit bus ride away from downtown Oakland. While offering similar courses for their students to fulfill general education requirements, the four colleges offer unique academic and career programs for PCCD students to pursue their different professional pathways. The close proximity of the four PCCD colleges leads to a high rate of  “</w:t>
      </w:r>
      <w:hyperlink r:id="rId11" w:history="1">
        <w:r w:rsidRPr="008C7D0A">
          <w:rPr>
            <w:rStyle w:val="Hyperlink"/>
            <w:rFonts w:ascii="Times New Roman" w:hAnsi="Times New Roman" w:cs="Times New Roman"/>
            <w:sz w:val="24"/>
            <w:szCs w:val="24"/>
          </w:rPr>
          <w:t>student swirl</w:t>
        </w:r>
      </w:hyperlink>
      <w:r>
        <w:rPr>
          <w:rFonts w:ascii="Times New Roman" w:hAnsi="Times New Roman" w:cs="Times New Roman"/>
          <w:sz w:val="24"/>
          <w:szCs w:val="24"/>
        </w:rPr>
        <w:t xml:space="preserve">”; 53% of students within the district attend more than one of the four PCCD colleges, 23% attend two or more PCCD colleges within the same semester. </w:t>
      </w:r>
    </w:p>
    <w:p w14:paraId="34A65227" w14:textId="7141A5C7" w:rsidR="00581E7E" w:rsidRDefault="00581E7E" w:rsidP="00581E7E">
      <w:pPr>
        <w:rPr>
          <w:rFonts w:ascii="Times New Roman" w:hAnsi="Times New Roman" w:cs="Times New Roman"/>
          <w:sz w:val="24"/>
          <w:szCs w:val="24"/>
        </w:rPr>
      </w:pPr>
      <w:r>
        <w:rPr>
          <w:rFonts w:ascii="Times New Roman" w:hAnsi="Times New Roman" w:cs="Times New Roman"/>
          <w:sz w:val="24"/>
          <w:szCs w:val="24"/>
        </w:rPr>
        <w:t>The Bay Area has been experiencing an exponential economic growth for more than one</w:t>
      </w:r>
      <w:r w:rsidRPr="009962FD">
        <w:rPr>
          <w:rFonts w:ascii="Times New Roman" w:hAnsi="Times New Roman" w:cs="Times New Roman"/>
          <w:sz w:val="24"/>
          <w:szCs w:val="24"/>
        </w:rPr>
        <w:t xml:space="preserve"> decade</w:t>
      </w:r>
      <w:r>
        <w:rPr>
          <w:rFonts w:ascii="Times New Roman" w:hAnsi="Times New Roman" w:cs="Times New Roman"/>
          <w:sz w:val="24"/>
          <w:szCs w:val="24"/>
        </w:rPr>
        <w:t xml:space="preserve">.  While the San Francisco Bay Area </w:t>
      </w:r>
      <w:r w:rsidRPr="009962FD">
        <w:rPr>
          <w:rFonts w:ascii="Times New Roman" w:hAnsi="Times New Roman" w:cs="Times New Roman"/>
          <w:sz w:val="24"/>
          <w:szCs w:val="24"/>
        </w:rPr>
        <w:t xml:space="preserve">is considered to be the global hub of </w:t>
      </w:r>
      <w:r>
        <w:rPr>
          <w:rFonts w:ascii="Times New Roman" w:hAnsi="Times New Roman" w:cs="Times New Roman"/>
          <w:sz w:val="24"/>
          <w:szCs w:val="24"/>
        </w:rPr>
        <w:t xml:space="preserve">various </w:t>
      </w:r>
      <w:r w:rsidRPr="009962FD">
        <w:rPr>
          <w:rFonts w:ascii="Times New Roman" w:hAnsi="Times New Roman" w:cs="Times New Roman"/>
          <w:sz w:val="24"/>
          <w:szCs w:val="24"/>
        </w:rPr>
        <w:t>growing industry</w:t>
      </w:r>
      <w:r>
        <w:rPr>
          <w:rFonts w:ascii="Times New Roman" w:hAnsi="Times New Roman" w:cs="Times New Roman"/>
          <w:sz w:val="24"/>
          <w:szCs w:val="24"/>
        </w:rPr>
        <w:t xml:space="preserve">, the East Bay is </w:t>
      </w:r>
      <w:r w:rsidRPr="009962FD">
        <w:rPr>
          <w:rFonts w:ascii="Times New Roman" w:hAnsi="Times New Roman" w:cs="Times New Roman"/>
          <w:sz w:val="24"/>
          <w:szCs w:val="24"/>
        </w:rPr>
        <w:t>one of the hubs for renewable energy nationwide and one of the biggest adopters of and markets for solar technology in California</w:t>
      </w:r>
      <w:r>
        <w:rPr>
          <w:rFonts w:ascii="Times New Roman" w:hAnsi="Times New Roman" w:cs="Times New Roman"/>
          <w:sz w:val="24"/>
          <w:szCs w:val="24"/>
        </w:rPr>
        <w:t xml:space="preserve">.  </w:t>
      </w:r>
      <w:r w:rsidRPr="009962FD">
        <w:rPr>
          <w:rFonts w:ascii="Times New Roman" w:hAnsi="Times New Roman" w:cs="Times New Roman"/>
          <w:sz w:val="24"/>
          <w:szCs w:val="24"/>
        </w:rPr>
        <w:t xml:space="preserve">Alameda County is at the heart of the East Bay Green Corridor.  </w:t>
      </w:r>
      <w:hyperlink r:id="rId12" w:history="1">
        <w:r w:rsidRPr="00250F98">
          <w:rPr>
            <w:rStyle w:val="Hyperlink"/>
            <w:rFonts w:ascii="Times New Roman" w:hAnsi="Times New Roman" w:cs="Times New Roman"/>
            <w:sz w:val="24"/>
            <w:szCs w:val="24"/>
          </w:rPr>
          <w:t>The Bay Area Council Economic Institute</w:t>
        </w:r>
      </w:hyperlink>
      <w:r w:rsidRPr="009962FD">
        <w:rPr>
          <w:rFonts w:ascii="Times New Roman" w:hAnsi="Times New Roman" w:cs="Times New Roman"/>
          <w:sz w:val="24"/>
          <w:szCs w:val="24"/>
        </w:rPr>
        <w:t xml:space="preserve"> predicts that the Bay Area labor market will continue to outperform the rest of the state and the nation. </w:t>
      </w:r>
      <w:hyperlink r:id="rId13" w:history="1">
        <w:r w:rsidRPr="00844F23">
          <w:rPr>
            <w:rStyle w:val="Hyperlink"/>
            <w:rFonts w:ascii="Times New Roman" w:hAnsi="Times New Roman" w:cs="Times New Roman"/>
            <w:sz w:val="24"/>
            <w:szCs w:val="24"/>
          </w:rPr>
          <w:t>Business Insider</w:t>
        </w:r>
      </w:hyperlink>
      <w:r>
        <w:rPr>
          <w:rFonts w:ascii="Times New Roman" w:hAnsi="Times New Roman" w:cs="Times New Roman"/>
          <w:sz w:val="24"/>
          <w:szCs w:val="24"/>
        </w:rPr>
        <w:t>, in April 2018, ranked t</w:t>
      </w:r>
      <w:r w:rsidRPr="00844F23">
        <w:rPr>
          <w:rFonts w:ascii="Times New Roman" w:hAnsi="Times New Roman" w:cs="Times New Roman"/>
          <w:sz w:val="24"/>
          <w:szCs w:val="24"/>
        </w:rPr>
        <w:t>wo Northern California metros — San Francisco-Oakland-Hayward and San Jose-Sunnyvale-Santa Clara —</w:t>
      </w:r>
      <w:r>
        <w:rPr>
          <w:rFonts w:ascii="Times New Roman" w:hAnsi="Times New Roman" w:cs="Times New Roman"/>
          <w:sz w:val="24"/>
          <w:szCs w:val="24"/>
        </w:rPr>
        <w:t xml:space="preserve"> </w:t>
      </w:r>
      <w:r w:rsidRPr="00844F23">
        <w:rPr>
          <w:rFonts w:ascii="Times New Roman" w:hAnsi="Times New Roman" w:cs="Times New Roman"/>
          <w:sz w:val="24"/>
          <w:szCs w:val="24"/>
        </w:rPr>
        <w:t>as the places with the best econom</w:t>
      </w:r>
      <w:r>
        <w:rPr>
          <w:rFonts w:ascii="Times New Roman" w:hAnsi="Times New Roman" w:cs="Times New Roman"/>
          <w:sz w:val="24"/>
          <w:szCs w:val="24"/>
        </w:rPr>
        <w:t>y</w:t>
      </w:r>
      <w:r w:rsidRPr="00844F23">
        <w:rPr>
          <w:rFonts w:ascii="Times New Roman" w:hAnsi="Times New Roman" w:cs="Times New Roman"/>
          <w:sz w:val="24"/>
          <w:szCs w:val="24"/>
        </w:rPr>
        <w:t xml:space="preserve"> in the country.</w:t>
      </w:r>
      <w:r>
        <w:rPr>
          <w:rFonts w:ascii="Times New Roman" w:hAnsi="Times New Roman" w:cs="Times New Roman"/>
          <w:sz w:val="24"/>
          <w:szCs w:val="24"/>
        </w:rPr>
        <w:t xml:space="preserve"> According to the </w:t>
      </w:r>
      <w:hyperlink r:id="rId14" w:history="1">
        <w:r w:rsidRPr="00844F23">
          <w:rPr>
            <w:rStyle w:val="Hyperlink"/>
            <w:rFonts w:ascii="Times New Roman" w:hAnsi="Times New Roman" w:cs="Times New Roman"/>
            <w:sz w:val="24"/>
            <w:szCs w:val="24"/>
          </w:rPr>
          <w:t>San Francisco Area Economic Summary</w:t>
        </w:r>
      </w:hyperlink>
      <w:r>
        <w:rPr>
          <w:rFonts w:ascii="Times New Roman" w:hAnsi="Times New Roman" w:cs="Times New Roman"/>
          <w:sz w:val="24"/>
          <w:szCs w:val="24"/>
        </w:rPr>
        <w:t xml:space="preserve">, January 31, 2019, the unemployment rates in both </w:t>
      </w:r>
      <w:r>
        <w:rPr>
          <w:rFonts w:ascii="Times New Roman" w:hAnsi="Times New Roman" w:cs="Times New Roman"/>
          <w:sz w:val="24"/>
          <w:szCs w:val="24"/>
        </w:rPr>
        <w:lastRenderedPageBreak/>
        <w:t xml:space="preserve">San Francisco area (2.7) and Alameda County (3.0) are lower than the national rate of 3.9.  Furthermore, the </w:t>
      </w:r>
      <w:hyperlink r:id="rId15" w:history="1">
        <w:r w:rsidRPr="000B0F68">
          <w:rPr>
            <w:rStyle w:val="Hyperlink"/>
            <w:rFonts w:ascii="Times New Roman" w:hAnsi="Times New Roman" w:cs="Times New Roman"/>
            <w:sz w:val="24"/>
            <w:szCs w:val="24"/>
          </w:rPr>
          <w:t>Bay Area Economic Institute</w:t>
        </w:r>
      </w:hyperlink>
      <w:r>
        <w:rPr>
          <w:rFonts w:ascii="Times New Roman" w:hAnsi="Times New Roman" w:cs="Times New Roman"/>
          <w:sz w:val="24"/>
          <w:szCs w:val="24"/>
        </w:rPr>
        <w:t xml:space="preserve"> announced in July 2018, i</w:t>
      </w:r>
      <w:r w:rsidRPr="000B0F68">
        <w:rPr>
          <w:rFonts w:ascii="Times New Roman" w:hAnsi="Times New Roman" w:cs="Times New Roman"/>
          <w:sz w:val="24"/>
          <w:szCs w:val="24"/>
        </w:rPr>
        <w:t>f the Bay Area were its own country, its economy would rank 19th in the world</w:t>
      </w:r>
      <w:r>
        <w:rPr>
          <w:rFonts w:ascii="Times New Roman" w:hAnsi="Times New Roman" w:cs="Times New Roman"/>
          <w:sz w:val="24"/>
          <w:szCs w:val="24"/>
        </w:rPr>
        <w:t>.</w:t>
      </w:r>
      <w:r w:rsidRPr="000B0F68">
        <w:rPr>
          <w:rFonts w:ascii="Times New Roman" w:hAnsi="Times New Roman" w:cs="Times New Roman"/>
          <w:sz w:val="24"/>
          <w:szCs w:val="24"/>
        </w:rPr>
        <w:t xml:space="preserve"> At better than </w:t>
      </w:r>
      <w:r w:rsidR="00D1785A">
        <w:rPr>
          <w:rFonts w:ascii="Times New Roman" w:hAnsi="Times New Roman" w:cs="Times New Roman"/>
          <w:sz w:val="24"/>
          <w:szCs w:val="24"/>
        </w:rPr>
        <w:t>four</w:t>
      </w:r>
      <w:r w:rsidRPr="000B0F68">
        <w:rPr>
          <w:rFonts w:ascii="Times New Roman" w:hAnsi="Times New Roman" w:cs="Times New Roman"/>
          <w:sz w:val="24"/>
          <w:szCs w:val="24"/>
        </w:rPr>
        <w:t xml:space="preserve"> percent </w:t>
      </w:r>
      <w:r>
        <w:rPr>
          <w:rFonts w:ascii="Times New Roman" w:hAnsi="Times New Roman" w:cs="Times New Roman"/>
          <w:sz w:val="24"/>
          <w:szCs w:val="24"/>
        </w:rPr>
        <w:t xml:space="preserve">economic growth, the Bay Area economy </w:t>
      </w:r>
      <w:r w:rsidRPr="000B0F68">
        <w:rPr>
          <w:rFonts w:ascii="Times New Roman" w:hAnsi="Times New Roman" w:cs="Times New Roman"/>
          <w:sz w:val="24"/>
          <w:szCs w:val="24"/>
        </w:rPr>
        <w:t>double</w:t>
      </w:r>
      <w:r>
        <w:rPr>
          <w:rFonts w:ascii="Times New Roman" w:hAnsi="Times New Roman" w:cs="Times New Roman"/>
          <w:sz w:val="24"/>
          <w:szCs w:val="24"/>
        </w:rPr>
        <w:t>s</w:t>
      </w:r>
      <w:r w:rsidRPr="000B0F68">
        <w:rPr>
          <w:rFonts w:ascii="Times New Roman" w:hAnsi="Times New Roman" w:cs="Times New Roman"/>
          <w:sz w:val="24"/>
          <w:szCs w:val="24"/>
        </w:rPr>
        <w:t xml:space="preserve"> the national average.</w:t>
      </w:r>
    </w:p>
    <w:p w14:paraId="6BAA73B0" w14:textId="1CED17B8" w:rsidR="00581E7E" w:rsidRDefault="00581E7E" w:rsidP="00581E7E">
      <w:pPr>
        <w:spacing w:after="0"/>
        <w:rPr>
          <w:rFonts w:ascii="Times New Roman" w:hAnsi="Times New Roman" w:cs="Times New Roman"/>
          <w:sz w:val="24"/>
          <w:szCs w:val="24"/>
        </w:rPr>
      </w:pPr>
      <w:r>
        <w:rPr>
          <w:rFonts w:ascii="Times New Roman" w:hAnsi="Times New Roman" w:cs="Times New Roman"/>
          <w:b/>
          <w:sz w:val="24"/>
          <w:szCs w:val="24"/>
        </w:rPr>
        <w:t xml:space="preserve">Community College </w:t>
      </w:r>
      <w:r w:rsidRPr="00052200">
        <w:rPr>
          <w:rFonts w:ascii="Times New Roman" w:hAnsi="Times New Roman" w:cs="Times New Roman"/>
          <w:b/>
          <w:sz w:val="24"/>
          <w:szCs w:val="24"/>
        </w:rPr>
        <w:t xml:space="preserve">Enrollment and </w:t>
      </w:r>
      <w:r>
        <w:rPr>
          <w:rFonts w:ascii="Times New Roman" w:hAnsi="Times New Roman" w:cs="Times New Roman"/>
          <w:b/>
          <w:sz w:val="24"/>
          <w:szCs w:val="24"/>
        </w:rPr>
        <w:t xml:space="preserve">the </w:t>
      </w:r>
      <w:r w:rsidRPr="00052200">
        <w:rPr>
          <w:rFonts w:ascii="Times New Roman" w:hAnsi="Times New Roman" w:cs="Times New Roman"/>
          <w:b/>
          <w:sz w:val="24"/>
          <w:szCs w:val="24"/>
        </w:rPr>
        <w:t>Economy</w:t>
      </w:r>
      <w:r w:rsidR="00516F61">
        <w:rPr>
          <w:rStyle w:val="FootnoteReference"/>
          <w:rFonts w:ascii="Times New Roman" w:hAnsi="Times New Roman" w:cs="Times New Roman"/>
          <w:b/>
          <w:sz w:val="24"/>
          <w:szCs w:val="24"/>
        </w:rPr>
        <w:footnoteReference w:id="2"/>
      </w:r>
      <w:r w:rsidRPr="00052200">
        <w:rPr>
          <w:rFonts w:ascii="Times New Roman" w:hAnsi="Times New Roman" w:cs="Times New Roman"/>
          <w:b/>
          <w:sz w:val="24"/>
          <w:szCs w:val="24"/>
        </w:rPr>
        <w:t>.</w:t>
      </w:r>
      <w:r>
        <w:rPr>
          <w:rFonts w:ascii="Times New Roman" w:hAnsi="Times New Roman" w:cs="Times New Roman"/>
          <w:sz w:val="24"/>
          <w:szCs w:val="24"/>
        </w:rPr>
        <w:t xml:space="preserve">  Community college enrollment and the regional economy tend to have a reverse relationship.  While celebrating the country’s recent economic growth being the nation’s second longest, according to </w:t>
      </w:r>
      <w:hyperlink r:id="rId16" w:history="1">
        <w:r w:rsidRPr="004104FC">
          <w:rPr>
            <w:rStyle w:val="Hyperlink"/>
            <w:rFonts w:ascii="Times New Roman" w:hAnsi="Times New Roman" w:cs="Times New Roman"/>
            <w:sz w:val="24"/>
            <w:szCs w:val="24"/>
          </w:rPr>
          <w:t>Bloomberg</w:t>
        </w:r>
      </w:hyperlink>
      <w:r>
        <w:rPr>
          <w:rFonts w:ascii="Times New Roman" w:hAnsi="Times New Roman" w:cs="Times New Roman"/>
          <w:sz w:val="24"/>
          <w:szCs w:val="24"/>
        </w:rPr>
        <w:t xml:space="preserve">, along with many other Bay Area multi-college districts, PCCD has been struggling with enrollments in recent years (Table X).  Facing declining enrollment, the District has had to employ a mixture of allowable strategies, stabilization and borrowing, just to meet the base. </w:t>
      </w:r>
      <w:r w:rsidR="00D1785A">
        <w:rPr>
          <w:rFonts w:ascii="Times New Roman" w:hAnsi="Times New Roman" w:cs="Times New Roman"/>
          <w:sz w:val="24"/>
          <w:szCs w:val="24"/>
        </w:rPr>
        <w:t xml:space="preserve">For example, resident credit FTES in Table X below shown that 15/16 included fall 15, spring and summer 2016; 16/17 only included fall 2016 and spring 2017, while 17/18 included summer </w:t>
      </w:r>
      <w:r w:rsidR="00516F61">
        <w:rPr>
          <w:rFonts w:ascii="Times New Roman" w:hAnsi="Times New Roman" w:cs="Times New Roman"/>
          <w:sz w:val="24"/>
          <w:szCs w:val="24"/>
        </w:rPr>
        <w:t xml:space="preserve">and fall </w:t>
      </w:r>
      <w:r w:rsidR="00D1785A">
        <w:rPr>
          <w:rFonts w:ascii="Times New Roman" w:hAnsi="Times New Roman" w:cs="Times New Roman"/>
          <w:sz w:val="24"/>
          <w:szCs w:val="24"/>
        </w:rPr>
        <w:t>201</w:t>
      </w:r>
      <w:r w:rsidR="00516F61">
        <w:rPr>
          <w:rFonts w:ascii="Times New Roman" w:hAnsi="Times New Roman" w:cs="Times New Roman"/>
          <w:sz w:val="24"/>
          <w:szCs w:val="24"/>
        </w:rPr>
        <w:t>7 and spring 2018. (to be confirmed)</w:t>
      </w:r>
    </w:p>
    <w:p w14:paraId="052518C2" w14:textId="77777777" w:rsidR="00581E7E" w:rsidRPr="00C55A95" w:rsidRDefault="00581E7E" w:rsidP="00581E7E">
      <w:pPr>
        <w:spacing w:after="0"/>
        <w:rPr>
          <w:rFonts w:ascii="Times New Roman" w:hAnsi="Times New Roman" w:cs="Times New Roman"/>
          <w:sz w:val="24"/>
          <w:szCs w:val="24"/>
        </w:rPr>
      </w:pPr>
    </w:p>
    <w:p w14:paraId="7B337AA7" w14:textId="77777777" w:rsidR="00581E7E" w:rsidRDefault="00581E7E" w:rsidP="00581E7E">
      <w:pPr>
        <w:pStyle w:val="ListParagraph"/>
        <w:spacing w:after="0"/>
        <w:ind w:left="990"/>
        <w:jc w:val="center"/>
        <w:rPr>
          <w:rFonts w:ascii="Times New Roman" w:hAnsi="Times New Roman" w:cs="Times New Roman"/>
          <w:sz w:val="24"/>
          <w:szCs w:val="24"/>
        </w:rPr>
      </w:pPr>
    </w:p>
    <w:tbl>
      <w:tblPr>
        <w:tblW w:w="7818" w:type="dxa"/>
        <w:jc w:val="center"/>
        <w:tblLook w:val="04A0" w:firstRow="1" w:lastRow="0" w:firstColumn="1" w:lastColumn="0" w:noHBand="0" w:noVBand="1"/>
      </w:tblPr>
      <w:tblGrid>
        <w:gridCol w:w="2280"/>
        <w:gridCol w:w="1206"/>
        <w:gridCol w:w="1206"/>
        <w:gridCol w:w="1206"/>
        <w:gridCol w:w="960"/>
        <w:gridCol w:w="960"/>
      </w:tblGrid>
      <w:tr w:rsidR="00581E7E" w:rsidRPr="00E166DE" w14:paraId="09BE8AA5" w14:textId="77777777" w:rsidTr="00221442">
        <w:trPr>
          <w:trHeight w:val="450"/>
          <w:jc w:val="center"/>
        </w:trPr>
        <w:tc>
          <w:tcPr>
            <w:tcW w:w="2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F55102" w14:textId="77777777" w:rsidR="00581E7E" w:rsidRPr="00E166DE" w:rsidRDefault="00581E7E" w:rsidP="00221442">
            <w:pPr>
              <w:spacing w:after="0" w:line="240" w:lineRule="auto"/>
              <w:rPr>
                <w:rFonts w:ascii="Calibri" w:eastAsia="Times New Roman" w:hAnsi="Calibri" w:cs="Calibri"/>
                <w:color w:val="000000"/>
              </w:rPr>
            </w:pPr>
            <w:r w:rsidRPr="00E166DE">
              <w:rPr>
                <w:rFonts w:ascii="Calibri" w:eastAsia="Times New Roman" w:hAnsi="Calibri" w:cs="Calibri"/>
                <w:color w:val="000000"/>
              </w:rPr>
              <w:t> </w:t>
            </w:r>
          </w:p>
        </w:tc>
        <w:tc>
          <w:tcPr>
            <w:tcW w:w="1206" w:type="dxa"/>
            <w:tcBorders>
              <w:top w:val="single" w:sz="8" w:space="0" w:color="auto"/>
              <w:left w:val="nil"/>
              <w:bottom w:val="single" w:sz="8" w:space="0" w:color="auto"/>
              <w:right w:val="single" w:sz="8" w:space="0" w:color="auto"/>
            </w:tcBorders>
            <w:shd w:val="clear" w:color="000000" w:fill="D4D0C8"/>
            <w:vAlign w:val="center"/>
            <w:hideMark/>
          </w:tcPr>
          <w:p w14:paraId="5E316269"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Annual 2015-2016</w:t>
            </w:r>
          </w:p>
        </w:tc>
        <w:tc>
          <w:tcPr>
            <w:tcW w:w="1206" w:type="dxa"/>
            <w:tcBorders>
              <w:top w:val="single" w:sz="8" w:space="0" w:color="auto"/>
              <w:left w:val="nil"/>
              <w:bottom w:val="single" w:sz="8" w:space="0" w:color="auto"/>
              <w:right w:val="single" w:sz="8" w:space="0" w:color="auto"/>
            </w:tcBorders>
            <w:shd w:val="clear" w:color="000000" w:fill="D4D0C8"/>
            <w:vAlign w:val="center"/>
            <w:hideMark/>
          </w:tcPr>
          <w:p w14:paraId="27994830"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Annual 2016-2017</w:t>
            </w:r>
          </w:p>
        </w:tc>
        <w:tc>
          <w:tcPr>
            <w:tcW w:w="1206" w:type="dxa"/>
            <w:tcBorders>
              <w:top w:val="single" w:sz="8" w:space="0" w:color="auto"/>
              <w:left w:val="nil"/>
              <w:bottom w:val="single" w:sz="8" w:space="0" w:color="auto"/>
              <w:right w:val="single" w:sz="8" w:space="0" w:color="auto"/>
            </w:tcBorders>
            <w:shd w:val="clear" w:color="000000" w:fill="D4D0C8"/>
            <w:vAlign w:val="center"/>
            <w:hideMark/>
          </w:tcPr>
          <w:p w14:paraId="3E7329E9"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Annual 2017-2018</w:t>
            </w:r>
          </w:p>
        </w:tc>
        <w:tc>
          <w:tcPr>
            <w:tcW w:w="960" w:type="dxa"/>
            <w:tcBorders>
              <w:top w:val="single" w:sz="8" w:space="0" w:color="auto"/>
              <w:left w:val="nil"/>
              <w:bottom w:val="single" w:sz="8" w:space="0" w:color="auto"/>
              <w:right w:val="single" w:sz="8" w:space="0" w:color="auto"/>
            </w:tcBorders>
            <w:shd w:val="clear" w:color="000000" w:fill="D4D0C8"/>
            <w:vAlign w:val="center"/>
            <w:hideMark/>
          </w:tcPr>
          <w:p w14:paraId="631BACA1"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Credit FTES</w:t>
            </w:r>
          </w:p>
        </w:tc>
        <w:tc>
          <w:tcPr>
            <w:tcW w:w="960" w:type="dxa"/>
            <w:tcBorders>
              <w:top w:val="single" w:sz="8" w:space="0" w:color="auto"/>
              <w:left w:val="nil"/>
              <w:bottom w:val="single" w:sz="8" w:space="0" w:color="auto"/>
              <w:right w:val="single" w:sz="8" w:space="0" w:color="auto"/>
            </w:tcBorders>
            <w:shd w:val="clear" w:color="000000" w:fill="D4D0C8"/>
            <w:vAlign w:val="center"/>
            <w:hideMark/>
          </w:tcPr>
          <w:p w14:paraId="37BA864A"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Credit FTES</w:t>
            </w:r>
          </w:p>
        </w:tc>
      </w:tr>
      <w:tr w:rsidR="00581E7E" w:rsidRPr="00E166DE" w14:paraId="6946198F" w14:textId="77777777" w:rsidTr="00221442">
        <w:trPr>
          <w:trHeight w:val="1050"/>
          <w:jc w:val="center"/>
        </w:trPr>
        <w:tc>
          <w:tcPr>
            <w:tcW w:w="2280" w:type="dxa"/>
            <w:tcBorders>
              <w:top w:val="nil"/>
              <w:left w:val="single" w:sz="8" w:space="0" w:color="auto"/>
              <w:bottom w:val="single" w:sz="8" w:space="0" w:color="auto"/>
              <w:right w:val="single" w:sz="8" w:space="0" w:color="auto"/>
            </w:tcBorders>
            <w:shd w:val="clear" w:color="auto" w:fill="auto"/>
            <w:noWrap/>
            <w:vAlign w:val="bottom"/>
            <w:hideMark/>
          </w:tcPr>
          <w:p w14:paraId="6DD99389" w14:textId="77777777" w:rsidR="00581E7E" w:rsidRPr="00E166DE" w:rsidRDefault="00581E7E" w:rsidP="00221442">
            <w:pPr>
              <w:spacing w:after="0" w:line="240" w:lineRule="auto"/>
              <w:rPr>
                <w:rFonts w:ascii="Calibri" w:eastAsia="Times New Roman" w:hAnsi="Calibri" w:cs="Calibri"/>
                <w:color w:val="000000"/>
              </w:rPr>
            </w:pPr>
            <w:r w:rsidRPr="00E166DE">
              <w:rPr>
                <w:rFonts w:ascii="Calibri" w:eastAsia="Times New Roman" w:hAnsi="Calibri" w:cs="Calibri"/>
                <w:color w:val="000000"/>
              </w:rPr>
              <w:t> </w:t>
            </w:r>
          </w:p>
        </w:tc>
        <w:tc>
          <w:tcPr>
            <w:tcW w:w="1206" w:type="dxa"/>
            <w:tcBorders>
              <w:top w:val="nil"/>
              <w:left w:val="nil"/>
              <w:bottom w:val="single" w:sz="8" w:space="0" w:color="auto"/>
              <w:right w:val="single" w:sz="8" w:space="0" w:color="auto"/>
            </w:tcBorders>
            <w:shd w:val="clear" w:color="000000" w:fill="D4D0C8"/>
            <w:noWrap/>
            <w:vAlign w:val="center"/>
            <w:hideMark/>
          </w:tcPr>
          <w:p w14:paraId="4EFDE66E"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Credit FTES</w:t>
            </w:r>
          </w:p>
        </w:tc>
        <w:tc>
          <w:tcPr>
            <w:tcW w:w="1206" w:type="dxa"/>
            <w:tcBorders>
              <w:top w:val="nil"/>
              <w:left w:val="nil"/>
              <w:bottom w:val="single" w:sz="8" w:space="0" w:color="auto"/>
              <w:right w:val="single" w:sz="8" w:space="0" w:color="auto"/>
            </w:tcBorders>
            <w:shd w:val="clear" w:color="000000" w:fill="D4D0C8"/>
            <w:noWrap/>
            <w:vAlign w:val="center"/>
            <w:hideMark/>
          </w:tcPr>
          <w:p w14:paraId="7D7DE6F2"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Credit FTES</w:t>
            </w:r>
          </w:p>
        </w:tc>
        <w:tc>
          <w:tcPr>
            <w:tcW w:w="1206" w:type="dxa"/>
            <w:tcBorders>
              <w:top w:val="nil"/>
              <w:left w:val="nil"/>
              <w:bottom w:val="single" w:sz="8" w:space="0" w:color="auto"/>
              <w:right w:val="single" w:sz="8" w:space="0" w:color="auto"/>
            </w:tcBorders>
            <w:shd w:val="clear" w:color="000000" w:fill="D4D0C8"/>
            <w:noWrap/>
            <w:vAlign w:val="center"/>
            <w:hideMark/>
          </w:tcPr>
          <w:p w14:paraId="6211BBB6" w14:textId="77777777" w:rsidR="00581E7E" w:rsidRPr="00E166DE" w:rsidRDefault="00581E7E" w:rsidP="00221442">
            <w:pPr>
              <w:spacing w:after="0" w:line="240" w:lineRule="auto"/>
              <w:jc w:val="center"/>
              <w:rPr>
                <w:rFonts w:ascii="Tahoma" w:eastAsia="Times New Roman" w:hAnsi="Tahoma" w:cs="Tahoma"/>
                <w:color w:val="000000"/>
                <w:sz w:val="17"/>
                <w:szCs w:val="17"/>
              </w:rPr>
            </w:pPr>
            <w:r w:rsidRPr="00E166DE">
              <w:rPr>
                <w:rFonts w:ascii="Tahoma" w:eastAsia="Times New Roman" w:hAnsi="Tahoma" w:cs="Tahoma"/>
                <w:color w:val="000000"/>
                <w:sz w:val="17"/>
                <w:szCs w:val="17"/>
              </w:rPr>
              <w:t>Credit FTES</w:t>
            </w:r>
          </w:p>
        </w:tc>
        <w:tc>
          <w:tcPr>
            <w:tcW w:w="960" w:type="dxa"/>
            <w:tcBorders>
              <w:top w:val="nil"/>
              <w:left w:val="nil"/>
              <w:bottom w:val="single" w:sz="8" w:space="0" w:color="auto"/>
              <w:right w:val="single" w:sz="8" w:space="0" w:color="auto"/>
            </w:tcBorders>
            <w:shd w:val="clear" w:color="000000" w:fill="C9C9C9"/>
            <w:vAlign w:val="center"/>
            <w:hideMark/>
          </w:tcPr>
          <w:p w14:paraId="5D5B213D" w14:textId="77777777" w:rsidR="00581E7E" w:rsidRPr="00E166DE" w:rsidRDefault="00581E7E" w:rsidP="00221442">
            <w:pPr>
              <w:spacing w:after="0" w:line="240" w:lineRule="auto"/>
              <w:jc w:val="center"/>
              <w:rPr>
                <w:rFonts w:ascii="Calibri" w:eastAsia="Times New Roman" w:hAnsi="Calibri" w:cs="Calibri"/>
                <w:b/>
                <w:bCs/>
                <w:color w:val="000000"/>
                <w:sz w:val="20"/>
                <w:szCs w:val="20"/>
              </w:rPr>
            </w:pPr>
            <w:r w:rsidRPr="00E166DE">
              <w:rPr>
                <w:rFonts w:ascii="Calibri" w:eastAsia="Times New Roman" w:hAnsi="Calibri" w:cs="Calibri"/>
                <w:b/>
                <w:bCs/>
                <w:color w:val="000000"/>
                <w:sz w:val="20"/>
                <w:szCs w:val="20"/>
              </w:rPr>
              <w:t>2015/16 and 2016/17 % Chg</w:t>
            </w:r>
          </w:p>
        </w:tc>
        <w:tc>
          <w:tcPr>
            <w:tcW w:w="960" w:type="dxa"/>
            <w:tcBorders>
              <w:top w:val="nil"/>
              <w:left w:val="nil"/>
              <w:bottom w:val="single" w:sz="8" w:space="0" w:color="auto"/>
              <w:right w:val="single" w:sz="8" w:space="0" w:color="auto"/>
            </w:tcBorders>
            <w:shd w:val="clear" w:color="000000" w:fill="C9C9C9"/>
            <w:vAlign w:val="center"/>
            <w:hideMark/>
          </w:tcPr>
          <w:p w14:paraId="0C16FF20" w14:textId="77777777" w:rsidR="00581E7E" w:rsidRPr="00E166DE" w:rsidRDefault="00581E7E" w:rsidP="00221442">
            <w:pPr>
              <w:spacing w:after="0" w:line="240" w:lineRule="auto"/>
              <w:jc w:val="center"/>
              <w:rPr>
                <w:rFonts w:ascii="Calibri" w:eastAsia="Times New Roman" w:hAnsi="Calibri" w:cs="Calibri"/>
                <w:b/>
                <w:bCs/>
                <w:color w:val="000000"/>
                <w:sz w:val="20"/>
                <w:szCs w:val="20"/>
              </w:rPr>
            </w:pPr>
            <w:r w:rsidRPr="00E166DE">
              <w:rPr>
                <w:rFonts w:ascii="Calibri" w:eastAsia="Times New Roman" w:hAnsi="Calibri" w:cs="Calibri"/>
                <w:b/>
                <w:bCs/>
                <w:color w:val="000000"/>
                <w:sz w:val="20"/>
                <w:szCs w:val="20"/>
              </w:rPr>
              <w:t>2016/17 and 2017/18 % Chg</w:t>
            </w:r>
          </w:p>
        </w:tc>
      </w:tr>
      <w:tr w:rsidR="00581E7E" w:rsidRPr="00E166DE" w14:paraId="6B3BFE4D" w14:textId="77777777" w:rsidTr="00221442">
        <w:trPr>
          <w:trHeight w:val="300"/>
          <w:jc w:val="center"/>
        </w:trPr>
        <w:tc>
          <w:tcPr>
            <w:tcW w:w="2280" w:type="dxa"/>
            <w:tcBorders>
              <w:top w:val="nil"/>
              <w:left w:val="single" w:sz="8" w:space="0" w:color="auto"/>
              <w:bottom w:val="single" w:sz="8" w:space="0" w:color="auto"/>
              <w:right w:val="single" w:sz="8" w:space="0" w:color="auto"/>
            </w:tcBorders>
            <w:shd w:val="clear" w:color="000000" w:fill="D4D0C8"/>
            <w:noWrap/>
            <w:vAlign w:val="center"/>
            <w:hideMark/>
          </w:tcPr>
          <w:p w14:paraId="414F5FDC" w14:textId="77777777" w:rsidR="00581E7E" w:rsidRPr="00E166DE" w:rsidRDefault="00581E7E" w:rsidP="00221442">
            <w:pPr>
              <w:spacing w:after="0" w:line="240" w:lineRule="auto"/>
              <w:rPr>
                <w:rFonts w:ascii="Tahoma" w:eastAsia="Times New Roman" w:hAnsi="Tahoma" w:cs="Tahoma"/>
                <w:color w:val="000000"/>
                <w:sz w:val="17"/>
                <w:szCs w:val="17"/>
              </w:rPr>
            </w:pPr>
            <w:r w:rsidRPr="00E166DE">
              <w:rPr>
                <w:rFonts w:ascii="Tahoma" w:eastAsia="Times New Roman" w:hAnsi="Tahoma" w:cs="Tahoma"/>
                <w:color w:val="000000"/>
                <w:sz w:val="17"/>
                <w:szCs w:val="17"/>
              </w:rPr>
              <w:t>Peralta CCD</w:t>
            </w:r>
          </w:p>
        </w:tc>
        <w:tc>
          <w:tcPr>
            <w:tcW w:w="1206" w:type="dxa"/>
            <w:tcBorders>
              <w:top w:val="nil"/>
              <w:left w:val="nil"/>
              <w:bottom w:val="single" w:sz="8" w:space="0" w:color="auto"/>
              <w:right w:val="single" w:sz="8" w:space="0" w:color="auto"/>
            </w:tcBorders>
            <w:shd w:val="clear" w:color="000000" w:fill="FFFFFF"/>
            <w:noWrap/>
            <w:vAlign w:val="center"/>
            <w:hideMark/>
          </w:tcPr>
          <w:p w14:paraId="1D1D5DC1" w14:textId="77777777" w:rsidR="00581E7E" w:rsidRPr="00E166DE" w:rsidRDefault="00581E7E" w:rsidP="00221442">
            <w:pPr>
              <w:spacing w:after="0" w:line="240" w:lineRule="auto"/>
              <w:jc w:val="right"/>
              <w:rPr>
                <w:rFonts w:ascii="Tahoma" w:eastAsia="Times New Roman" w:hAnsi="Tahoma" w:cs="Tahoma"/>
                <w:color w:val="000000"/>
                <w:sz w:val="17"/>
                <w:szCs w:val="17"/>
              </w:rPr>
            </w:pPr>
            <w:r w:rsidRPr="00E166DE">
              <w:rPr>
                <w:rFonts w:ascii="Tahoma" w:eastAsia="Times New Roman" w:hAnsi="Tahoma" w:cs="Tahoma"/>
                <w:color w:val="000000"/>
                <w:sz w:val="17"/>
                <w:szCs w:val="17"/>
              </w:rPr>
              <w:t>19,409.34</w:t>
            </w:r>
          </w:p>
        </w:tc>
        <w:tc>
          <w:tcPr>
            <w:tcW w:w="1206" w:type="dxa"/>
            <w:tcBorders>
              <w:top w:val="nil"/>
              <w:left w:val="nil"/>
              <w:bottom w:val="single" w:sz="8" w:space="0" w:color="auto"/>
              <w:right w:val="single" w:sz="8" w:space="0" w:color="auto"/>
            </w:tcBorders>
            <w:shd w:val="clear" w:color="000000" w:fill="FFFFFF"/>
            <w:noWrap/>
            <w:vAlign w:val="center"/>
            <w:hideMark/>
          </w:tcPr>
          <w:p w14:paraId="0AA27EFF" w14:textId="77777777" w:rsidR="00581E7E" w:rsidRPr="00E166DE" w:rsidRDefault="00581E7E" w:rsidP="00221442">
            <w:pPr>
              <w:spacing w:after="0" w:line="240" w:lineRule="auto"/>
              <w:jc w:val="right"/>
              <w:rPr>
                <w:rFonts w:ascii="Tahoma" w:eastAsia="Times New Roman" w:hAnsi="Tahoma" w:cs="Tahoma"/>
                <w:color w:val="000000"/>
                <w:sz w:val="17"/>
                <w:szCs w:val="17"/>
              </w:rPr>
            </w:pPr>
            <w:r w:rsidRPr="00E166DE">
              <w:rPr>
                <w:rFonts w:ascii="Tahoma" w:eastAsia="Times New Roman" w:hAnsi="Tahoma" w:cs="Tahoma"/>
                <w:color w:val="000000"/>
                <w:sz w:val="17"/>
                <w:szCs w:val="17"/>
              </w:rPr>
              <w:t>15,624.75</w:t>
            </w:r>
          </w:p>
        </w:tc>
        <w:tc>
          <w:tcPr>
            <w:tcW w:w="1206" w:type="dxa"/>
            <w:tcBorders>
              <w:top w:val="nil"/>
              <w:left w:val="nil"/>
              <w:bottom w:val="single" w:sz="8" w:space="0" w:color="auto"/>
              <w:right w:val="single" w:sz="8" w:space="0" w:color="auto"/>
            </w:tcBorders>
            <w:shd w:val="clear" w:color="000000" w:fill="FFFFFF"/>
            <w:noWrap/>
            <w:vAlign w:val="center"/>
            <w:hideMark/>
          </w:tcPr>
          <w:p w14:paraId="16EEB3DD" w14:textId="77777777" w:rsidR="00581E7E" w:rsidRPr="00E166DE" w:rsidRDefault="00581E7E" w:rsidP="00221442">
            <w:pPr>
              <w:spacing w:after="0" w:line="240" w:lineRule="auto"/>
              <w:jc w:val="right"/>
              <w:rPr>
                <w:rFonts w:ascii="Tahoma" w:eastAsia="Times New Roman" w:hAnsi="Tahoma" w:cs="Tahoma"/>
                <w:color w:val="000000"/>
                <w:sz w:val="17"/>
                <w:szCs w:val="17"/>
              </w:rPr>
            </w:pPr>
            <w:r w:rsidRPr="00E166DE">
              <w:rPr>
                <w:rFonts w:ascii="Tahoma" w:eastAsia="Times New Roman" w:hAnsi="Tahoma" w:cs="Tahoma"/>
                <w:color w:val="000000"/>
                <w:sz w:val="17"/>
                <w:szCs w:val="17"/>
              </w:rPr>
              <w:t>18,684.53</w:t>
            </w:r>
          </w:p>
        </w:tc>
        <w:tc>
          <w:tcPr>
            <w:tcW w:w="960" w:type="dxa"/>
            <w:tcBorders>
              <w:top w:val="nil"/>
              <w:left w:val="nil"/>
              <w:bottom w:val="single" w:sz="8" w:space="0" w:color="auto"/>
              <w:right w:val="single" w:sz="8" w:space="0" w:color="auto"/>
            </w:tcBorders>
            <w:shd w:val="clear" w:color="auto" w:fill="auto"/>
            <w:noWrap/>
            <w:vAlign w:val="center"/>
            <w:hideMark/>
          </w:tcPr>
          <w:p w14:paraId="5E76D3BD" w14:textId="77777777" w:rsidR="00581E7E" w:rsidRPr="00E166DE" w:rsidRDefault="00581E7E" w:rsidP="00221442">
            <w:pPr>
              <w:spacing w:after="0" w:line="240" w:lineRule="auto"/>
              <w:jc w:val="center"/>
              <w:rPr>
                <w:rFonts w:ascii="Calibri" w:eastAsia="Times New Roman" w:hAnsi="Calibri" w:cs="Calibri"/>
                <w:color w:val="000000"/>
                <w:sz w:val="20"/>
                <w:szCs w:val="20"/>
              </w:rPr>
            </w:pPr>
            <w:r w:rsidRPr="00E166DE">
              <w:rPr>
                <w:rFonts w:ascii="Calibri" w:eastAsia="Times New Roman" w:hAnsi="Calibri" w:cs="Calibri"/>
                <w:color w:val="000000"/>
                <w:sz w:val="20"/>
                <w:szCs w:val="20"/>
              </w:rPr>
              <w:t>-19.50%</w:t>
            </w:r>
          </w:p>
        </w:tc>
        <w:tc>
          <w:tcPr>
            <w:tcW w:w="960" w:type="dxa"/>
            <w:tcBorders>
              <w:top w:val="nil"/>
              <w:left w:val="nil"/>
              <w:bottom w:val="single" w:sz="8" w:space="0" w:color="auto"/>
              <w:right w:val="single" w:sz="8" w:space="0" w:color="auto"/>
            </w:tcBorders>
            <w:shd w:val="clear" w:color="auto" w:fill="auto"/>
            <w:noWrap/>
            <w:vAlign w:val="center"/>
            <w:hideMark/>
          </w:tcPr>
          <w:p w14:paraId="0FA5EB2E" w14:textId="77777777" w:rsidR="00581E7E" w:rsidRPr="00E166DE" w:rsidRDefault="00581E7E" w:rsidP="00221442">
            <w:pPr>
              <w:spacing w:after="0" w:line="240" w:lineRule="auto"/>
              <w:jc w:val="center"/>
              <w:rPr>
                <w:rFonts w:ascii="Calibri" w:eastAsia="Times New Roman" w:hAnsi="Calibri" w:cs="Calibri"/>
                <w:color w:val="000000"/>
                <w:sz w:val="20"/>
                <w:szCs w:val="20"/>
              </w:rPr>
            </w:pPr>
            <w:r w:rsidRPr="00E166DE">
              <w:rPr>
                <w:rFonts w:ascii="Calibri" w:eastAsia="Times New Roman" w:hAnsi="Calibri" w:cs="Calibri"/>
                <w:color w:val="000000"/>
                <w:sz w:val="20"/>
                <w:szCs w:val="20"/>
              </w:rPr>
              <w:t>19.58%</w:t>
            </w:r>
          </w:p>
        </w:tc>
      </w:tr>
    </w:tbl>
    <w:p w14:paraId="7797D1D2" w14:textId="597AB05D" w:rsidR="00581E7E" w:rsidRDefault="00581E7E" w:rsidP="00581E7E">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Source: CCCCO </w:t>
      </w:r>
      <w:r w:rsidRPr="00A42249">
        <w:rPr>
          <w:rFonts w:ascii="Times New Roman" w:hAnsi="Times New Roman" w:cs="Times New Roman"/>
          <w:sz w:val="24"/>
          <w:szCs w:val="24"/>
          <w:highlight w:val="yellow"/>
        </w:rPr>
        <w:t>Recal</w:t>
      </w:r>
      <w:r w:rsidRPr="002A7EE7">
        <w:rPr>
          <w:rFonts w:ascii="Times New Roman" w:hAnsi="Times New Roman" w:cs="Times New Roman"/>
          <w:sz w:val="24"/>
          <w:szCs w:val="24"/>
        </w:rPr>
        <w:t xml:space="preserve"> </w:t>
      </w:r>
      <w:r>
        <w:rPr>
          <w:rFonts w:ascii="Times New Roman" w:hAnsi="Times New Roman" w:cs="Times New Roman"/>
          <w:sz w:val="24"/>
          <w:szCs w:val="24"/>
        </w:rPr>
        <w:t>Apportionment Attendance Report</w:t>
      </w:r>
      <w:r w:rsidR="00A42249">
        <w:rPr>
          <w:rFonts w:ascii="Times New Roman" w:hAnsi="Times New Roman" w:cs="Times New Roman"/>
          <w:sz w:val="24"/>
          <w:szCs w:val="24"/>
        </w:rPr>
        <w:t xml:space="preserve"> </w:t>
      </w:r>
      <w:r w:rsidR="00A42249" w:rsidRPr="00A42249">
        <w:rPr>
          <w:rFonts w:ascii="Times New Roman" w:hAnsi="Times New Roman" w:cs="Times New Roman"/>
          <w:color w:val="FF0000"/>
          <w:sz w:val="24"/>
          <w:szCs w:val="24"/>
          <w:highlight w:val="yellow"/>
        </w:rPr>
        <w:t>(these are likely to change these to the recall numbers)</w:t>
      </w:r>
    </w:p>
    <w:p w14:paraId="16595D41" w14:textId="77777777" w:rsidR="00581E7E" w:rsidRDefault="00581E7E" w:rsidP="00581E7E">
      <w:pPr>
        <w:pStyle w:val="ListParagraph"/>
        <w:spacing w:after="0"/>
        <w:ind w:left="990"/>
        <w:rPr>
          <w:rFonts w:ascii="Times New Roman" w:hAnsi="Times New Roman" w:cs="Times New Roman"/>
          <w:sz w:val="24"/>
          <w:szCs w:val="24"/>
        </w:rPr>
      </w:pPr>
    </w:p>
    <w:p w14:paraId="7D5B32BE" w14:textId="77777777" w:rsidR="00581E7E" w:rsidRDefault="00581E7E" w:rsidP="00581E7E">
      <w:pPr>
        <w:pStyle w:val="ListParagraph"/>
        <w:spacing w:after="0"/>
        <w:ind w:left="990"/>
        <w:rPr>
          <w:rFonts w:ascii="Times New Roman" w:hAnsi="Times New Roman" w:cs="Times New Roman"/>
          <w:sz w:val="24"/>
          <w:szCs w:val="24"/>
        </w:rPr>
      </w:pPr>
    </w:p>
    <w:p w14:paraId="2EB6A2B4" w14:textId="77777777" w:rsidR="00581E7E" w:rsidRDefault="00581E7E" w:rsidP="00581E7E">
      <w:pPr>
        <w:pStyle w:val="ListParagraph"/>
        <w:spacing w:after="0"/>
        <w:ind w:left="990"/>
        <w:rPr>
          <w:rFonts w:ascii="Times New Roman" w:hAnsi="Times New Roman" w:cs="Times New Roman"/>
          <w:sz w:val="24"/>
          <w:szCs w:val="24"/>
        </w:rPr>
      </w:pPr>
      <w:r w:rsidRPr="00D7109C">
        <w:rPr>
          <w:rFonts w:ascii="Times New Roman" w:hAnsi="Times New Roman" w:cs="Times New Roman"/>
          <w:noProof/>
          <w:sz w:val="24"/>
          <w:szCs w:val="24"/>
        </w:rPr>
        <w:drawing>
          <wp:inline distT="0" distB="0" distL="0" distR="0" wp14:anchorId="19CD44D5" wp14:editId="72D65420">
            <wp:extent cx="4584700" cy="120015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863" b="24096"/>
                    <a:stretch/>
                  </pic:blipFill>
                  <pic:spPr bwMode="auto">
                    <a:xfrm>
                      <a:off x="0" y="0"/>
                      <a:ext cx="4584700" cy="1200150"/>
                    </a:xfrm>
                    <a:prstGeom prst="rect">
                      <a:avLst/>
                    </a:prstGeom>
                    <a:ln>
                      <a:noFill/>
                    </a:ln>
                    <a:extLst>
                      <a:ext uri="{53640926-AAD7-44D8-BBD7-CCE9431645EC}">
                        <a14:shadowObscured xmlns:a14="http://schemas.microsoft.com/office/drawing/2010/main"/>
                      </a:ext>
                    </a:extLst>
                  </pic:spPr>
                </pic:pic>
              </a:graphicData>
            </a:graphic>
          </wp:inline>
        </w:drawing>
      </w:r>
    </w:p>
    <w:p w14:paraId="2F8C9AA6" w14:textId="77777777" w:rsidR="00581E7E" w:rsidRDefault="00581E7E" w:rsidP="00581E7E">
      <w:pPr>
        <w:pStyle w:val="ListParagraph"/>
        <w:spacing w:after="0"/>
        <w:ind w:left="990"/>
        <w:rPr>
          <w:rFonts w:ascii="Times New Roman" w:hAnsi="Times New Roman" w:cs="Times New Roman"/>
          <w:sz w:val="24"/>
          <w:szCs w:val="24"/>
        </w:rPr>
      </w:pPr>
    </w:p>
    <w:p w14:paraId="4015A22E" w14:textId="6E385D1D" w:rsidR="00581E7E" w:rsidRDefault="00581E7E" w:rsidP="002353C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During the same three-year period, credit FTES of most of the Bay Area districts </w:t>
      </w:r>
      <w:r w:rsidR="00D64266">
        <w:rPr>
          <w:rFonts w:ascii="Times New Roman" w:hAnsi="Times New Roman" w:cs="Times New Roman"/>
          <w:sz w:val="24"/>
          <w:szCs w:val="24"/>
        </w:rPr>
        <w:t xml:space="preserve">also </w:t>
      </w:r>
      <w:r>
        <w:rPr>
          <w:rFonts w:ascii="Times New Roman" w:hAnsi="Times New Roman" w:cs="Times New Roman"/>
          <w:sz w:val="24"/>
          <w:szCs w:val="24"/>
        </w:rPr>
        <w:t>experienced dynamic changes, as suggested in Table X below</w:t>
      </w:r>
      <w:r w:rsidRPr="00461957">
        <w:rPr>
          <w:rFonts w:ascii="Times New Roman" w:hAnsi="Times New Roman" w:cs="Times New Roman"/>
          <w:sz w:val="24"/>
          <w:szCs w:val="24"/>
          <w:highlight w:val="yellow"/>
        </w:rPr>
        <w:t xml:space="preserve">. </w:t>
      </w:r>
    </w:p>
    <w:p w14:paraId="18FB8A51" w14:textId="77777777" w:rsidR="00581E7E" w:rsidRDefault="00581E7E" w:rsidP="00581E7E">
      <w:pPr>
        <w:pStyle w:val="ListParagraph"/>
        <w:spacing w:after="0"/>
        <w:ind w:left="990"/>
        <w:rPr>
          <w:rFonts w:ascii="Times New Roman" w:hAnsi="Times New Roman" w:cs="Times New Roman"/>
          <w:sz w:val="24"/>
          <w:szCs w:val="24"/>
        </w:rPr>
      </w:pPr>
    </w:p>
    <w:p w14:paraId="51F1CA36" w14:textId="34DB3B75" w:rsidR="00581E7E" w:rsidRPr="002353C5" w:rsidRDefault="00581E7E" w:rsidP="00581E7E">
      <w:pPr>
        <w:pStyle w:val="ListParagraph"/>
        <w:spacing w:after="0"/>
        <w:ind w:left="990"/>
        <w:jc w:val="center"/>
        <w:rPr>
          <w:rFonts w:ascii="Times New Roman" w:hAnsi="Times New Roman" w:cs="Times New Roman"/>
          <w:sz w:val="24"/>
          <w:szCs w:val="24"/>
        </w:rPr>
      </w:pPr>
      <w:r w:rsidRPr="002353C5">
        <w:rPr>
          <w:rFonts w:ascii="Times New Roman" w:hAnsi="Times New Roman" w:cs="Times New Roman"/>
          <w:sz w:val="24"/>
          <w:szCs w:val="24"/>
        </w:rPr>
        <w:t xml:space="preserve">Table X </w:t>
      </w:r>
    </w:p>
    <w:p w14:paraId="464C78B4" w14:textId="7EBF7724" w:rsidR="002353C5" w:rsidRDefault="00581E7E" w:rsidP="00581E7E">
      <w:pPr>
        <w:pStyle w:val="ListParagraph"/>
        <w:spacing w:after="0"/>
        <w:ind w:left="990"/>
        <w:jc w:val="center"/>
        <w:rPr>
          <w:rFonts w:ascii="Times New Roman" w:hAnsi="Times New Roman" w:cs="Times New Roman"/>
          <w:sz w:val="24"/>
          <w:szCs w:val="24"/>
        </w:rPr>
      </w:pPr>
      <w:r w:rsidRPr="002353C5">
        <w:rPr>
          <w:rFonts w:ascii="Times New Roman" w:hAnsi="Times New Roman" w:cs="Times New Roman"/>
          <w:sz w:val="24"/>
          <w:szCs w:val="24"/>
        </w:rPr>
        <w:t>Bay Area Community College District Three-Year Credit FTES</w:t>
      </w:r>
      <w:r w:rsidR="002353C5">
        <w:rPr>
          <w:rStyle w:val="FootnoteReference"/>
          <w:rFonts w:ascii="Times New Roman" w:hAnsi="Times New Roman" w:cs="Times New Roman"/>
          <w:sz w:val="24"/>
          <w:szCs w:val="24"/>
        </w:rPr>
        <w:footnoteReference w:id="3"/>
      </w:r>
      <w:r w:rsidRPr="002353C5">
        <w:rPr>
          <w:rFonts w:ascii="Times New Roman" w:hAnsi="Times New Roman" w:cs="Times New Roman"/>
          <w:sz w:val="24"/>
          <w:szCs w:val="24"/>
        </w:rPr>
        <w:t xml:space="preserve"> Trends, </w:t>
      </w:r>
    </w:p>
    <w:p w14:paraId="43E753FB" w14:textId="672D0CAF" w:rsidR="00581E7E" w:rsidRDefault="00581E7E" w:rsidP="00581E7E">
      <w:pPr>
        <w:pStyle w:val="ListParagraph"/>
        <w:spacing w:after="0"/>
        <w:ind w:left="990"/>
        <w:jc w:val="center"/>
        <w:rPr>
          <w:rFonts w:ascii="Times New Roman" w:hAnsi="Times New Roman" w:cs="Times New Roman"/>
          <w:sz w:val="24"/>
          <w:szCs w:val="24"/>
        </w:rPr>
      </w:pPr>
      <w:r w:rsidRPr="002353C5">
        <w:rPr>
          <w:rFonts w:ascii="Times New Roman" w:hAnsi="Times New Roman" w:cs="Times New Roman"/>
          <w:sz w:val="24"/>
          <w:szCs w:val="24"/>
        </w:rPr>
        <w:t>in Comparison with CCCCO</w:t>
      </w:r>
    </w:p>
    <w:p w14:paraId="68CAEBC8" w14:textId="4BC433E5" w:rsidR="002353C5" w:rsidRDefault="002353C5" w:rsidP="00581E7E">
      <w:pPr>
        <w:pStyle w:val="ListParagraph"/>
        <w:spacing w:after="0"/>
        <w:ind w:left="990"/>
        <w:jc w:val="center"/>
        <w:rPr>
          <w:rFonts w:ascii="Times New Roman" w:hAnsi="Times New Roman" w:cs="Times New Roman"/>
          <w:sz w:val="24"/>
          <w:szCs w:val="24"/>
        </w:rPr>
      </w:pPr>
    </w:p>
    <w:tbl>
      <w:tblPr>
        <w:tblpPr w:leftFromText="180" w:rightFromText="180" w:vertAnchor="text" w:tblpXSpec="center" w:tblpY="1"/>
        <w:tblOverlap w:val="never"/>
        <w:tblW w:w="5160" w:type="dxa"/>
        <w:tblLook w:val="04A0" w:firstRow="1" w:lastRow="0" w:firstColumn="1" w:lastColumn="0" w:noHBand="0" w:noVBand="1"/>
      </w:tblPr>
      <w:tblGrid>
        <w:gridCol w:w="2320"/>
        <w:gridCol w:w="1420"/>
        <w:gridCol w:w="1420"/>
      </w:tblGrid>
      <w:tr w:rsidR="002353C5" w:rsidRPr="00CB598A" w14:paraId="33BD38C8" w14:textId="77777777" w:rsidTr="002353C5">
        <w:trPr>
          <w:trHeight w:val="6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93FA"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 </w:t>
            </w:r>
          </w:p>
        </w:tc>
        <w:tc>
          <w:tcPr>
            <w:tcW w:w="1420" w:type="dxa"/>
            <w:tcBorders>
              <w:top w:val="single" w:sz="4" w:space="0" w:color="auto"/>
              <w:left w:val="nil"/>
              <w:bottom w:val="single" w:sz="4" w:space="0" w:color="auto"/>
              <w:right w:val="single" w:sz="4" w:space="0" w:color="auto"/>
            </w:tcBorders>
            <w:shd w:val="clear" w:color="000000" w:fill="D4D0C8"/>
            <w:hideMark/>
          </w:tcPr>
          <w:p w14:paraId="05C9B2B8" w14:textId="77777777" w:rsidR="002353C5" w:rsidRPr="00CB598A" w:rsidRDefault="002353C5" w:rsidP="00804EE8">
            <w:pPr>
              <w:spacing w:after="0" w:line="240" w:lineRule="auto"/>
              <w:jc w:val="center"/>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15/16 &amp; 16/17 % Chg</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5D9E89B" w14:textId="77777777" w:rsidR="002353C5" w:rsidRPr="00CB598A" w:rsidRDefault="002353C5" w:rsidP="00804EE8">
            <w:pPr>
              <w:spacing w:after="0" w:line="240" w:lineRule="auto"/>
              <w:jc w:val="center"/>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highlight w:val="lightGray"/>
              </w:rPr>
              <w:t>16/17 &amp; 17/18 % Chg.</w:t>
            </w:r>
          </w:p>
        </w:tc>
      </w:tr>
      <w:tr w:rsidR="002353C5" w:rsidRPr="00CB598A" w14:paraId="7D359D7F"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7D382C84"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Chabot-Las Positas CCD</w:t>
            </w:r>
          </w:p>
        </w:tc>
        <w:tc>
          <w:tcPr>
            <w:tcW w:w="1420" w:type="dxa"/>
            <w:tcBorders>
              <w:top w:val="nil"/>
              <w:left w:val="nil"/>
              <w:bottom w:val="single" w:sz="4" w:space="0" w:color="auto"/>
              <w:right w:val="single" w:sz="4" w:space="0" w:color="auto"/>
            </w:tcBorders>
            <w:shd w:val="clear" w:color="auto" w:fill="auto"/>
            <w:noWrap/>
            <w:vAlign w:val="bottom"/>
            <w:hideMark/>
          </w:tcPr>
          <w:p w14:paraId="6F10B850"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2.38%</w:t>
            </w:r>
          </w:p>
        </w:tc>
        <w:tc>
          <w:tcPr>
            <w:tcW w:w="1420" w:type="dxa"/>
            <w:tcBorders>
              <w:top w:val="nil"/>
              <w:left w:val="nil"/>
              <w:bottom w:val="single" w:sz="4" w:space="0" w:color="auto"/>
              <w:right w:val="single" w:sz="4" w:space="0" w:color="auto"/>
            </w:tcBorders>
            <w:shd w:val="clear" w:color="auto" w:fill="auto"/>
            <w:noWrap/>
            <w:vAlign w:val="bottom"/>
            <w:hideMark/>
          </w:tcPr>
          <w:p w14:paraId="6F7BD8B5"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0.41%</w:t>
            </w:r>
          </w:p>
        </w:tc>
      </w:tr>
      <w:tr w:rsidR="002353C5" w:rsidRPr="00CB598A" w14:paraId="3669EC1E"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0CE81A2F"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Contra Costa CCD</w:t>
            </w:r>
          </w:p>
        </w:tc>
        <w:tc>
          <w:tcPr>
            <w:tcW w:w="1420" w:type="dxa"/>
            <w:tcBorders>
              <w:top w:val="nil"/>
              <w:left w:val="nil"/>
              <w:bottom w:val="single" w:sz="4" w:space="0" w:color="auto"/>
              <w:right w:val="single" w:sz="4" w:space="0" w:color="auto"/>
            </w:tcBorders>
            <w:shd w:val="clear" w:color="auto" w:fill="auto"/>
            <w:noWrap/>
            <w:vAlign w:val="bottom"/>
            <w:hideMark/>
          </w:tcPr>
          <w:p w14:paraId="3F413918"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-1.48%</w:t>
            </w:r>
          </w:p>
        </w:tc>
        <w:tc>
          <w:tcPr>
            <w:tcW w:w="1420" w:type="dxa"/>
            <w:tcBorders>
              <w:top w:val="nil"/>
              <w:left w:val="nil"/>
              <w:bottom w:val="single" w:sz="4" w:space="0" w:color="auto"/>
              <w:right w:val="single" w:sz="4" w:space="0" w:color="auto"/>
            </w:tcBorders>
            <w:shd w:val="clear" w:color="auto" w:fill="auto"/>
            <w:noWrap/>
            <w:vAlign w:val="bottom"/>
            <w:hideMark/>
          </w:tcPr>
          <w:p w14:paraId="44381427"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-0.01%</w:t>
            </w:r>
          </w:p>
        </w:tc>
      </w:tr>
      <w:tr w:rsidR="002353C5" w:rsidRPr="00CB598A" w14:paraId="3521E7A0"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18940D79"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Foothill CCD</w:t>
            </w:r>
          </w:p>
        </w:tc>
        <w:tc>
          <w:tcPr>
            <w:tcW w:w="1420" w:type="dxa"/>
            <w:tcBorders>
              <w:top w:val="nil"/>
              <w:left w:val="nil"/>
              <w:bottom w:val="single" w:sz="4" w:space="0" w:color="auto"/>
              <w:right w:val="single" w:sz="4" w:space="0" w:color="auto"/>
            </w:tcBorders>
            <w:shd w:val="clear" w:color="auto" w:fill="auto"/>
            <w:noWrap/>
            <w:vAlign w:val="bottom"/>
            <w:hideMark/>
          </w:tcPr>
          <w:p w14:paraId="02D594E1"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-3.06%</w:t>
            </w:r>
          </w:p>
        </w:tc>
        <w:tc>
          <w:tcPr>
            <w:tcW w:w="1420" w:type="dxa"/>
            <w:tcBorders>
              <w:top w:val="nil"/>
              <w:left w:val="nil"/>
              <w:bottom w:val="single" w:sz="4" w:space="0" w:color="auto"/>
              <w:right w:val="single" w:sz="4" w:space="0" w:color="auto"/>
            </w:tcBorders>
            <w:shd w:val="clear" w:color="auto" w:fill="auto"/>
            <w:noWrap/>
            <w:vAlign w:val="bottom"/>
            <w:hideMark/>
          </w:tcPr>
          <w:p w14:paraId="56BD3EDF"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-6.95%</w:t>
            </w:r>
          </w:p>
        </w:tc>
      </w:tr>
      <w:tr w:rsidR="002353C5" w:rsidRPr="00CB598A" w14:paraId="378FDC9E"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70BFC435"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Los Rios CCD</w:t>
            </w:r>
          </w:p>
        </w:tc>
        <w:tc>
          <w:tcPr>
            <w:tcW w:w="1420" w:type="dxa"/>
            <w:tcBorders>
              <w:top w:val="nil"/>
              <w:left w:val="nil"/>
              <w:bottom w:val="single" w:sz="4" w:space="0" w:color="auto"/>
              <w:right w:val="single" w:sz="4" w:space="0" w:color="auto"/>
            </w:tcBorders>
            <w:shd w:val="clear" w:color="auto" w:fill="auto"/>
            <w:noWrap/>
            <w:vAlign w:val="bottom"/>
            <w:hideMark/>
          </w:tcPr>
          <w:p w14:paraId="07D7125A"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-3.29%</w:t>
            </w:r>
          </w:p>
        </w:tc>
        <w:tc>
          <w:tcPr>
            <w:tcW w:w="1420" w:type="dxa"/>
            <w:tcBorders>
              <w:top w:val="nil"/>
              <w:left w:val="nil"/>
              <w:bottom w:val="single" w:sz="4" w:space="0" w:color="auto"/>
              <w:right w:val="single" w:sz="4" w:space="0" w:color="auto"/>
            </w:tcBorders>
            <w:shd w:val="clear" w:color="auto" w:fill="auto"/>
            <w:noWrap/>
            <w:vAlign w:val="bottom"/>
            <w:hideMark/>
          </w:tcPr>
          <w:p w14:paraId="60E7CC27"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-0.30%</w:t>
            </w:r>
          </w:p>
        </w:tc>
      </w:tr>
      <w:tr w:rsidR="002353C5" w:rsidRPr="00CB598A" w14:paraId="56625949"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250F7B2F"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Marin CCD</w:t>
            </w:r>
          </w:p>
        </w:tc>
        <w:tc>
          <w:tcPr>
            <w:tcW w:w="1420" w:type="dxa"/>
            <w:tcBorders>
              <w:top w:val="nil"/>
              <w:left w:val="nil"/>
              <w:bottom w:val="single" w:sz="4" w:space="0" w:color="auto"/>
              <w:right w:val="single" w:sz="4" w:space="0" w:color="auto"/>
            </w:tcBorders>
            <w:shd w:val="clear" w:color="auto" w:fill="auto"/>
            <w:noWrap/>
            <w:vAlign w:val="bottom"/>
            <w:hideMark/>
          </w:tcPr>
          <w:p w14:paraId="5DF56F1F"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-2.09%</w:t>
            </w:r>
          </w:p>
        </w:tc>
        <w:tc>
          <w:tcPr>
            <w:tcW w:w="1420" w:type="dxa"/>
            <w:tcBorders>
              <w:top w:val="nil"/>
              <w:left w:val="nil"/>
              <w:bottom w:val="single" w:sz="4" w:space="0" w:color="auto"/>
              <w:right w:val="single" w:sz="4" w:space="0" w:color="auto"/>
            </w:tcBorders>
            <w:shd w:val="clear" w:color="auto" w:fill="auto"/>
            <w:noWrap/>
            <w:vAlign w:val="bottom"/>
            <w:hideMark/>
          </w:tcPr>
          <w:p w14:paraId="2BB4E92E"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-2.72%</w:t>
            </w:r>
          </w:p>
        </w:tc>
      </w:tr>
      <w:tr w:rsidR="002353C5" w:rsidRPr="00CB598A" w14:paraId="20C20E43"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16081B9D"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Ohlone CCD</w:t>
            </w:r>
          </w:p>
        </w:tc>
        <w:tc>
          <w:tcPr>
            <w:tcW w:w="1420" w:type="dxa"/>
            <w:tcBorders>
              <w:top w:val="nil"/>
              <w:left w:val="nil"/>
              <w:bottom w:val="single" w:sz="4" w:space="0" w:color="auto"/>
              <w:right w:val="single" w:sz="4" w:space="0" w:color="auto"/>
            </w:tcBorders>
            <w:shd w:val="clear" w:color="auto" w:fill="auto"/>
            <w:noWrap/>
            <w:vAlign w:val="bottom"/>
            <w:hideMark/>
          </w:tcPr>
          <w:p w14:paraId="5018248F"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2.06%</w:t>
            </w:r>
          </w:p>
        </w:tc>
        <w:tc>
          <w:tcPr>
            <w:tcW w:w="1420" w:type="dxa"/>
            <w:tcBorders>
              <w:top w:val="nil"/>
              <w:left w:val="nil"/>
              <w:bottom w:val="single" w:sz="4" w:space="0" w:color="auto"/>
              <w:right w:val="single" w:sz="4" w:space="0" w:color="auto"/>
            </w:tcBorders>
            <w:shd w:val="clear" w:color="auto" w:fill="auto"/>
            <w:noWrap/>
            <w:vAlign w:val="bottom"/>
            <w:hideMark/>
          </w:tcPr>
          <w:p w14:paraId="493F6993"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-7.42%</w:t>
            </w:r>
          </w:p>
        </w:tc>
      </w:tr>
      <w:tr w:rsidR="002353C5" w:rsidRPr="00CB598A" w14:paraId="6B385DCC"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4FA9DC5B"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Peralta CCD</w:t>
            </w:r>
          </w:p>
        </w:tc>
        <w:tc>
          <w:tcPr>
            <w:tcW w:w="1420" w:type="dxa"/>
            <w:tcBorders>
              <w:top w:val="nil"/>
              <w:left w:val="nil"/>
              <w:bottom w:val="single" w:sz="4" w:space="0" w:color="auto"/>
              <w:right w:val="single" w:sz="4" w:space="0" w:color="auto"/>
            </w:tcBorders>
            <w:shd w:val="clear" w:color="auto" w:fill="auto"/>
            <w:noWrap/>
            <w:vAlign w:val="bottom"/>
            <w:hideMark/>
          </w:tcPr>
          <w:p w14:paraId="42777BDB"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-5.89%</w:t>
            </w:r>
          </w:p>
        </w:tc>
        <w:tc>
          <w:tcPr>
            <w:tcW w:w="1420" w:type="dxa"/>
            <w:tcBorders>
              <w:top w:val="nil"/>
              <w:left w:val="nil"/>
              <w:bottom w:val="single" w:sz="4" w:space="0" w:color="auto"/>
              <w:right w:val="single" w:sz="4" w:space="0" w:color="auto"/>
            </w:tcBorders>
            <w:shd w:val="clear" w:color="auto" w:fill="auto"/>
            <w:noWrap/>
            <w:vAlign w:val="bottom"/>
            <w:hideMark/>
          </w:tcPr>
          <w:p w14:paraId="7CD75081"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-0.12%</w:t>
            </w:r>
          </w:p>
        </w:tc>
      </w:tr>
      <w:tr w:rsidR="002353C5" w:rsidRPr="00CB598A" w14:paraId="0E98F7F4"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6C733B8A"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San Francisco CCD</w:t>
            </w:r>
          </w:p>
        </w:tc>
        <w:tc>
          <w:tcPr>
            <w:tcW w:w="1420" w:type="dxa"/>
            <w:tcBorders>
              <w:top w:val="nil"/>
              <w:left w:val="nil"/>
              <w:bottom w:val="single" w:sz="4" w:space="0" w:color="auto"/>
              <w:right w:val="single" w:sz="4" w:space="0" w:color="auto"/>
            </w:tcBorders>
            <w:shd w:val="clear" w:color="auto" w:fill="auto"/>
            <w:noWrap/>
            <w:vAlign w:val="bottom"/>
            <w:hideMark/>
          </w:tcPr>
          <w:p w14:paraId="1BC014A5"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-11.31%</w:t>
            </w:r>
          </w:p>
        </w:tc>
        <w:tc>
          <w:tcPr>
            <w:tcW w:w="1420" w:type="dxa"/>
            <w:tcBorders>
              <w:top w:val="nil"/>
              <w:left w:val="nil"/>
              <w:bottom w:val="single" w:sz="4" w:space="0" w:color="auto"/>
              <w:right w:val="single" w:sz="4" w:space="0" w:color="auto"/>
            </w:tcBorders>
            <w:shd w:val="clear" w:color="auto" w:fill="auto"/>
            <w:noWrap/>
            <w:vAlign w:val="bottom"/>
            <w:hideMark/>
          </w:tcPr>
          <w:p w14:paraId="32E4CCFE"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17.38%</w:t>
            </w:r>
          </w:p>
        </w:tc>
      </w:tr>
      <w:tr w:rsidR="002353C5" w:rsidRPr="00CB598A" w14:paraId="4218F6B5"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1D6D10A7"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San Jose CCD</w:t>
            </w:r>
          </w:p>
        </w:tc>
        <w:tc>
          <w:tcPr>
            <w:tcW w:w="1420" w:type="dxa"/>
            <w:tcBorders>
              <w:top w:val="nil"/>
              <w:left w:val="nil"/>
              <w:bottom w:val="single" w:sz="4" w:space="0" w:color="auto"/>
              <w:right w:val="single" w:sz="4" w:space="0" w:color="auto"/>
            </w:tcBorders>
            <w:shd w:val="clear" w:color="auto" w:fill="auto"/>
            <w:noWrap/>
            <w:vAlign w:val="bottom"/>
            <w:hideMark/>
          </w:tcPr>
          <w:p w14:paraId="7C24954E"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0.06%</w:t>
            </w:r>
          </w:p>
        </w:tc>
        <w:tc>
          <w:tcPr>
            <w:tcW w:w="1420" w:type="dxa"/>
            <w:tcBorders>
              <w:top w:val="nil"/>
              <w:left w:val="nil"/>
              <w:bottom w:val="single" w:sz="4" w:space="0" w:color="auto"/>
              <w:right w:val="single" w:sz="4" w:space="0" w:color="auto"/>
            </w:tcBorders>
            <w:shd w:val="clear" w:color="auto" w:fill="auto"/>
            <w:noWrap/>
            <w:vAlign w:val="bottom"/>
            <w:hideMark/>
          </w:tcPr>
          <w:p w14:paraId="2280CBD9"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4.79%</w:t>
            </w:r>
          </w:p>
        </w:tc>
      </w:tr>
      <w:tr w:rsidR="002353C5" w:rsidRPr="00CB598A" w14:paraId="6690443D"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52BD6468"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San Mateo CCD</w:t>
            </w:r>
          </w:p>
        </w:tc>
        <w:tc>
          <w:tcPr>
            <w:tcW w:w="1420" w:type="dxa"/>
            <w:tcBorders>
              <w:top w:val="nil"/>
              <w:left w:val="nil"/>
              <w:bottom w:val="single" w:sz="4" w:space="0" w:color="auto"/>
              <w:right w:val="single" w:sz="4" w:space="0" w:color="auto"/>
            </w:tcBorders>
            <w:shd w:val="clear" w:color="auto" w:fill="auto"/>
            <w:noWrap/>
            <w:vAlign w:val="bottom"/>
            <w:hideMark/>
          </w:tcPr>
          <w:p w14:paraId="46C1BDC7"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0.42%</w:t>
            </w:r>
          </w:p>
        </w:tc>
        <w:tc>
          <w:tcPr>
            <w:tcW w:w="1420" w:type="dxa"/>
            <w:tcBorders>
              <w:top w:val="nil"/>
              <w:left w:val="nil"/>
              <w:bottom w:val="single" w:sz="4" w:space="0" w:color="auto"/>
              <w:right w:val="single" w:sz="4" w:space="0" w:color="auto"/>
            </w:tcBorders>
            <w:shd w:val="clear" w:color="auto" w:fill="auto"/>
            <w:noWrap/>
            <w:vAlign w:val="bottom"/>
            <w:hideMark/>
          </w:tcPr>
          <w:p w14:paraId="119A4686"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-2.04%</w:t>
            </w:r>
          </w:p>
        </w:tc>
      </w:tr>
      <w:tr w:rsidR="002353C5" w:rsidRPr="00CB598A" w14:paraId="58F8C6BA"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4796D5E4" w14:textId="77777777" w:rsidR="002353C5" w:rsidRPr="00CB598A" w:rsidRDefault="002353C5" w:rsidP="00804EE8">
            <w:pPr>
              <w:spacing w:after="0" w:line="240" w:lineRule="auto"/>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West Valley CCD</w:t>
            </w:r>
          </w:p>
        </w:tc>
        <w:tc>
          <w:tcPr>
            <w:tcW w:w="1420" w:type="dxa"/>
            <w:tcBorders>
              <w:top w:val="nil"/>
              <w:left w:val="nil"/>
              <w:bottom w:val="single" w:sz="4" w:space="0" w:color="auto"/>
              <w:right w:val="single" w:sz="4" w:space="0" w:color="auto"/>
            </w:tcBorders>
            <w:shd w:val="clear" w:color="auto" w:fill="auto"/>
            <w:noWrap/>
            <w:vAlign w:val="bottom"/>
            <w:hideMark/>
          </w:tcPr>
          <w:p w14:paraId="00985DBB"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-8.59%</w:t>
            </w:r>
          </w:p>
        </w:tc>
        <w:tc>
          <w:tcPr>
            <w:tcW w:w="1420" w:type="dxa"/>
            <w:tcBorders>
              <w:top w:val="nil"/>
              <w:left w:val="nil"/>
              <w:bottom w:val="single" w:sz="4" w:space="0" w:color="auto"/>
              <w:right w:val="single" w:sz="4" w:space="0" w:color="auto"/>
            </w:tcBorders>
            <w:shd w:val="clear" w:color="auto" w:fill="auto"/>
            <w:noWrap/>
            <w:vAlign w:val="bottom"/>
            <w:hideMark/>
          </w:tcPr>
          <w:p w14:paraId="70507080"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-6.08%</w:t>
            </w:r>
          </w:p>
        </w:tc>
      </w:tr>
      <w:tr w:rsidR="002353C5" w:rsidRPr="00CB598A" w14:paraId="2BC3E501" w14:textId="77777777" w:rsidTr="002353C5">
        <w:trPr>
          <w:trHeight w:val="300"/>
        </w:trPr>
        <w:tc>
          <w:tcPr>
            <w:tcW w:w="2320" w:type="dxa"/>
            <w:tcBorders>
              <w:top w:val="nil"/>
              <w:left w:val="single" w:sz="4" w:space="0" w:color="auto"/>
              <w:bottom w:val="single" w:sz="4" w:space="0" w:color="auto"/>
              <w:right w:val="single" w:sz="4" w:space="0" w:color="auto"/>
            </w:tcBorders>
            <w:shd w:val="clear" w:color="000000" w:fill="D4D0C8"/>
            <w:noWrap/>
            <w:vAlign w:val="center"/>
            <w:hideMark/>
          </w:tcPr>
          <w:p w14:paraId="5AECA60F" w14:textId="77777777" w:rsidR="002353C5" w:rsidRPr="00CB598A" w:rsidRDefault="002353C5" w:rsidP="00804EE8">
            <w:pPr>
              <w:spacing w:after="0" w:line="240" w:lineRule="auto"/>
              <w:jc w:val="center"/>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State of California</w:t>
            </w:r>
          </w:p>
        </w:tc>
        <w:tc>
          <w:tcPr>
            <w:tcW w:w="1420" w:type="dxa"/>
            <w:tcBorders>
              <w:top w:val="nil"/>
              <w:left w:val="nil"/>
              <w:bottom w:val="single" w:sz="4" w:space="0" w:color="auto"/>
              <w:right w:val="single" w:sz="4" w:space="0" w:color="auto"/>
            </w:tcBorders>
            <w:shd w:val="clear" w:color="auto" w:fill="auto"/>
            <w:noWrap/>
            <w:vAlign w:val="bottom"/>
            <w:hideMark/>
          </w:tcPr>
          <w:p w14:paraId="43AB7B25"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-0.26%</w:t>
            </w:r>
          </w:p>
        </w:tc>
        <w:tc>
          <w:tcPr>
            <w:tcW w:w="1420" w:type="dxa"/>
            <w:tcBorders>
              <w:top w:val="nil"/>
              <w:left w:val="nil"/>
              <w:bottom w:val="single" w:sz="4" w:space="0" w:color="auto"/>
              <w:right w:val="single" w:sz="4" w:space="0" w:color="auto"/>
            </w:tcBorders>
            <w:shd w:val="clear" w:color="auto" w:fill="auto"/>
            <w:noWrap/>
            <w:vAlign w:val="bottom"/>
            <w:hideMark/>
          </w:tcPr>
          <w:p w14:paraId="24A01149" w14:textId="77777777" w:rsidR="002353C5" w:rsidRPr="00CB598A" w:rsidRDefault="002353C5" w:rsidP="00804EE8">
            <w:pPr>
              <w:spacing w:after="0" w:line="240" w:lineRule="auto"/>
              <w:jc w:val="right"/>
              <w:rPr>
                <w:rFonts w:ascii="Times New Roman" w:eastAsia="Times New Roman" w:hAnsi="Times New Roman" w:cs="Times New Roman"/>
                <w:color w:val="000000"/>
                <w:sz w:val="20"/>
                <w:szCs w:val="20"/>
              </w:rPr>
            </w:pPr>
            <w:r w:rsidRPr="00CB598A">
              <w:rPr>
                <w:rFonts w:ascii="Times New Roman" w:eastAsia="Times New Roman" w:hAnsi="Times New Roman" w:cs="Times New Roman"/>
                <w:color w:val="000000"/>
                <w:sz w:val="20"/>
                <w:szCs w:val="20"/>
              </w:rPr>
              <w:t>-0.11%</w:t>
            </w:r>
          </w:p>
        </w:tc>
      </w:tr>
    </w:tbl>
    <w:p w14:paraId="4107A2AC" w14:textId="5CF86917" w:rsidR="002353C5" w:rsidRDefault="002353C5" w:rsidP="00581E7E">
      <w:pPr>
        <w:pStyle w:val="ListParagraph"/>
        <w:spacing w:after="0"/>
        <w:ind w:left="990"/>
        <w:jc w:val="center"/>
        <w:rPr>
          <w:rFonts w:ascii="Times New Roman" w:hAnsi="Times New Roman" w:cs="Times New Roman"/>
          <w:sz w:val="24"/>
          <w:szCs w:val="24"/>
        </w:rPr>
      </w:pPr>
    </w:p>
    <w:p w14:paraId="40E47192" w14:textId="16E5BC31" w:rsidR="002353C5" w:rsidRDefault="002353C5" w:rsidP="00581E7E">
      <w:pPr>
        <w:pStyle w:val="ListParagraph"/>
        <w:spacing w:after="0"/>
        <w:ind w:left="990"/>
        <w:jc w:val="center"/>
        <w:rPr>
          <w:rFonts w:ascii="Times New Roman" w:hAnsi="Times New Roman" w:cs="Times New Roman"/>
          <w:sz w:val="24"/>
          <w:szCs w:val="24"/>
        </w:rPr>
      </w:pPr>
    </w:p>
    <w:p w14:paraId="06716897" w14:textId="47C61297" w:rsidR="002353C5" w:rsidRDefault="002353C5" w:rsidP="00581E7E">
      <w:pPr>
        <w:pStyle w:val="ListParagraph"/>
        <w:spacing w:after="0"/>
        <w:ind w:left="990"/>
        <w:jc w:val="center"/>
        <w:rPr>
          <w:rFonts w:ascii="Times New Roman" w:hAnsi="Times New Roman" w:cs="Times New Roman"/>
          <w:sz w:val="24"/>
          <w:szCs w:val="24"/>
        </w:rPr>
      </w:pPr>
    </w:p>
    <w:p w14:paraId="14C40B5E" w14:textId="3FF4C6D4" w:rsidR="002353C5" w:rsidRDefault="002353C5" w:rsidP="00581E7E">
      <w:pPr>
        <w:pStyle w:val="ListParagraph"/>
        <w:spacing w:after="0"/>
        <w:ind w:left="990"/>
        <w:jc w:val="center"/>
        <w:rPr>
          <w:rFonts w:ascii="Times New Roman" w:hAnsi="Times New Roman" w:cs="Times New Roman"/>
          <w:sz w:val="24"/>
          <w:szCs w:val="24"/>
        </w:rPr>
      </w:pPr>
    </w:p>
    <w:p w14:paraId="2C7C76E7" w14:textId="3DEA4520" w:rsidR="002353C5" w:rsidRDefault="002353C5" w:rsidP="00581E7E">
      <w:pPr>
        <w:pStyle w:val="ListParagraph"/>
        <w:spacing w:after="0"/>
        <w:ind w:left="990"/>
        <w:jc w:val="center"/>
        <w:rPr>
          <w:rFonts w:ascii="Times New Roman" w:hAnsi="Times New Roman" w:cs="Times New Roman"/>
          <w:sz w:val="24"/>
          <w:szCs w:val="24"/>
        </w:rPr>
      </w:pPr>
    </w:p>
    <w:p w14:paraId="5F6AA1DB" w14:textId="18D04878" w:rsidR="002353C5" w:rsidRDefault="002353C5" w:rsidP="00581E7E">
      <w:pPr>
        <w:pStyle w:val="ListParagraph"/>
        <w:spacing w:after="0"/>
        <w:ind w:left="990"/>
        <w:jc w:val="center"/>
        <w:rPr>
          <w:rFonts w:ascii="Times New Roman" w:hAnsi="Times New Roman" w:cs="Times New Roman"/>
          <w:sz w:val="24"/>
          <w:szCs w:val="24"/>
        </w:rPr>
      </w:pPr>
    </w:p>
    <w:p w14:paraId="0978EB61" w14:textId="7EEA9C29" w:rsidR="002353C5" w:rsidRDefault="002353C5" w:rsidP="00581E7E">
      <w:pPr>
        <w:pStyle w:val="ListParagraph"/>
        <w:spacing w:after="0"/>
        <w:ind w:left="990"/>
        <w:jc w:val="center"/>
        <w:rPr>
          <w:rFonts w:ascii="Times New Roman" w:hAnsi="Times New Roman" w:cs="Times New Roman"/>
          <w:sz w:val="24"/>
          <w:szCs w:val="24"/>
        </w:rPr>
      </w:pPr>
    </w:p>
    <w:p w14:paraId="0975CC61" w14:textId="072E65E8" w:rsidR="002353C5" w:rsidRDefault="002353C5" w:rsidP="00581E7E">
      <w:pPr>
        <w:pStyle w:val="ListParagraph"/>
        <w:spacing w:after="0"/>
        <w:ind w:left="990"/>
        <w:jc w:val="center"/>
        <w:rPr>
          <w:rFonts w:ascii="Times New Roman" w:hAnsi="Times New Roman" w:cs="Times New Roman"/>
          <w:sz w:val="24"/>
          <w:szCs w:val="24"/>
        </w:rPr>
      </w:pPr>
    </w:p>
    <w:p w14:paraId="1A081F65" w14:textId="44A91C50" w:rsidR="002353C5" w:rsidRDefault="002353C5" w:rsidP="00581E7E">
      <w:pPr>
        <w:pStyle w:val="ListParagraph"/>
        <w:spacing w:after="0"/>
        <w:ind w:left="990"/>
        <w:jc w:val="center"/>
        <w:rPr>
          <w:rFonts w:ascii="Times New Roman" w:hAnsi="Times New Roman" w:cs="Times New Roman"/>
          <w:sz w:val="24"/>
          <w:szCs w:val="24"/>
        </w:rPr>
      </w:pPr>
    </w:p>
    <w:p w14:paraId="26B012DD" w14:textId="4BD06E0B" w:rsidR="002353C5" w:rsidRDefault="002353C5" w:rsidP="00581E7E">
      <w:pPr>
        <w:pStyle w:val="ListParagraph"/>
        <w:spacing w:after="0"/>
        <w:ind w:left="990"/>
        <w:jc w:val="center"/>
        <w:rPr>
          <w:rFonts w:ascii="Times New Roman" w:hAnsi="Times New Roman" w:cs="Times New Roman"/>
          <w:sz w:val="24"/>
          <w:szCs w:val="24"/>
        </w:rPr>
      </w:pPr>
    </w:p>
    <w:p w14:paraId="161A79F6" w14:textId="10C57D4E" w:rsidR="002353C5" w:rsidRDefault="002353C5" w:rsidP="00581E7E">
      <w:pPr>
        <w:pStyle w:val="ListParagraph"/>
        <w:spacing w:after="0"/>
        <w:ind w:left="990"/>
        <w:jc w:val="center"/>
        <w:rPr>
          <w:rFonts w:ascii="Times New Roman" w:hAnsi="Times New Roman" w:cs="Times New Roman"/>
          <w:sz w:val="24"/>
          <w:szCs w:val="24"/>
        </w:rPr>
      </w:pPr>
    </w:p>
    <w:p w14:paraId="0364CFE3" w14:textId="4D87F3EE" w:rsidR="002353C5" w:rsidRDefault="002353C5" w:rsidP="00581E7E">
      <w:pPr>
        <w:pStyle w:val="ListParagraph"/>
        <w:spacing w:after="0"/>
        <w:ind w:left="990"/>
        <w:jc w:val="center"/>
        <w:rPr>
          <w:rFonts w:ascii="Times New Roman" w:hAnsi="Times New Roman" w:cs="Times New Roman"/>
          <w:sz w:val="24"/>
          <w:szCs w:val="24"/>
        </w:rPr>
      </w:pPr>
    </w:p>
    <w:p w14:paraId="73A5E1B3" w14:textId="77777777" w:rsidR="002353C5" w:rsidRDefault="002353C5" w:rsidP="00581E7E">
      <w:pPr>
        <w:pStyle w:val="ListParagraph"/>
        <w:spacing w:after="0"/>
        <w:ind w:left="990"/>
        <w:jc w:val="center"/>
        <w:rPr>
          <w:rFonts w:ascii="Times New Roman" w:hAnsi="Times New Roman" w:cs="Times New Roman"/>
          <w:sz w:val="24"/>
          <w:szCs w:val="24"/>
        </w:rPr>
      </w:pPr>
    </w:p>
    <w:p w14:paraId="3A91F94A" w14:textId="112CD20F" w:rsidR="002353C5" w:rsidRDefault="002353C5" w:rsidP="00581E7E">
      <w:pPr>
        <w:pStyle w:val="ListParagraph"/>
        <w:spacing w:after="0"/>
        <w:ind w:left="990"/>
        <w:jc w:val="center"/>
        <w:rPr>
          <w:rFonts w:ascii="Times New Roman" w:hAnsi="Times New Roman" w:cs="Times New Roman"/>
          <w:sz w:val="24"/>
          <w:szCs w:val="24"/>
        </w:rPr>
      </w:pPr>
    </w:p>
    <w:p w14:paraId="7F8333C8" w14:textId="77777777" w:rsidR="002353C5" w:rsidRPr="002353C5" w:rsidRDefault="002353C5" w:rsidP="002353C5">
      <w:pPr>
        <w:pStyle w:val="ListParagraph"/>
        <w:spacing w:after="0"/>
        <w:ind w:left="990"/>
        <w:jc w:val="center"/>
        <w:rPr>
          <w:rFonts w:ascii="Times New Roman" w:hAnsi="Times New Roman" w:cs="Times New Roman"/>
          <w:sz w:val="20"/>
          <w:szCs w:val="20"/>
        </w:rPr>
      </w:pPr>
    </w:p>
    <w:p w14:paraId="3F6A764E" w14:textId="77777777" w:rsidR="00581E7E" w:rsidRPr="002353C5" w:rsidRDefault="00581E7E" w:rsidP="002353C5">
      <w:pPr>
        <w:spacing w:after="0"/>
        <w:jc w:val="center"/>
        <w:rPr>
          <w:rFonts w:ascii="Times New Roman" w:hAnsi="Times New Roman" w:cs="Times New Roman"/>
          <w:sz w:val="20"/>
          <w:szCs w:val="20"/>
        </w:rPr>
      </w:pPr>
      <w:r w:rsidRPr="002353C5">
        <w:rPr>
          <w:rFonts w:ascii="Times New Roman" w:hAnsi="Times New Roman" w:cs="Times New Roman"/>
          <w:sz w:val="20"/>
          <w:szCs w:val="20"/>
        </w:rPr>
        <w:t>Source: CCCCO Data Mart</w:t>
      </w:r>
    </w:p>
    <w:p w14:paraId="724967CD" w14:textId="77777777" w:rsidR="00581E7E" w:rsidRPr="00844F23" w:rsidRDefault="00581E7E" w:rsidP="00581E7E">
      <w:pPr>
        <w:spacing w:after="0"/>
        <w:jc w:val="center"/>
        <w:rPr>
          <w:rFonts w:ascii="Times New Roman" w:hAnsi="Times New Roman" w:cs="Times New Roman"/>
          <w:sz w:val="24"/>
          <w:szCs w:val="24"/>
        </w:rPr>
      </w:pPr>
    </w:p>
    <w:p w14:paraId="38BB66FF" w14:textId="77777777" w:rsidR="00581E7E" w:rsidRPr="000930C3" w:rsidRDefault="00581E7E" w:rsidP="00581E7E">
      <w:pPr>
        <w:spacing w:after="0" w:line="240" w:lineRule="auto"/>
        <w:rPr>
          <w:rFonts w:ascii="Times New Roman" w:hAnsi="Times New Roman" w:cs="Times New Roman"/>
          <w:sz w:val="24"/>
          <w:szCs w:val="24"/>
        </w:rPr>
      </w:pPr>
    </w:p>
    <w:p w14:paraId="086B2659" w14:textId="26986335" w:rsidR="00581E7E" w:rsidRPr="000930C3" w:rsidRDefault="002521FE" w:rsidP="00581E7E">
      <w:pPr>
        <w:spacing w:after="0" w:line="240" w:lineRule="auto"/>
        <w:rPr>
          <w:rFonts w:ascii="Times New Roman" w:hAnsi="Times New Roman" w:cs="Times New Roman"/>
          <w:color w:val="000000" w:themeColor="text1"/>
          <w:sz w:val="24"/>
          <w:szCs w:val="24"/>
        </w:rPr>
      </w:pPr>
      <w:r w:rsidRPr="00D64266">
        <w:rPr>
          <w:rFonts w:ascii="Times New Roman" w:hAnsi="Times New Roman" w:cs="Times New Roman"/>
          <w:b/>
          <w:color w:val="000000" w:themeColor="text1"/>
          <w:sz w:val="24"/>
          <w:szCs w:val="24"/>
        </w:rPr>
        <w:t xml:space="preserve">PCCD’s </w:t>
      </w:r>
      <w:r w:rsidR="00D64266" w:rsidRPr="00D64266">
        <w:rPr>
          <w:rFonts w:ascii="Times New Roman" w:hAnsi="Times New Roman" w:cs="Times New Roman"/>
          <w:b/>
          <w:color w:val="000000" w:themeColor="text1"/>
          <w:sz w:val="24"/>
          <w:szCs w:val="24"/>
        </w:rPr>
        <w:t xml:space="preserve">Proactive </w:t>
      </w:r>
      <w:r w:rsidR="00EF6FD2">
        <w:rPr>
          <w:rFonts w:ascii="Times New Roman" w:hAnsi="Times New Roman" w:cs="Times New Roman"/>
          <w:b/>
          <w:color w:val="000000" w:themeColor="text1"/>
          <w:sz w:val="24"/>
          <w:szCs w:val="24"/>
        </w:rPr>
        <w:t xml:space="preserve">Enrollment </w:t>
      </w:r>
      <w:r w:rsidR="00D64266" w:rsidRPr="00D64266">
        <w:rPr>
          <w:rFonts w:ascii="Times New Roman" w:hAnsi="Times New Roman" w:cs="Times New Roman"/>
          <w:b/>
          <w:color w:val="000000" w:themeColor="text1"/>
          <w:sz w:val="24"/>
          <w:szCs w:val="24"/>
        </w:rPr>
        <w:t>Strategies.</w:t>
      </w:r>
      <w:r w:rsidR="00D64266">
        <w:rPr>
          <w:rFonts w:ascii="Times New Roman" w:hAnsi="Times New Roman" w:cs="Times New Roman"/>
          <w:color w:val="000000" w:themeColor="text1"/>
          <w:sz w:val="24"/>
          <w:szCs w:val="24"/>
        </w:rPr>
        <w:t xml:space="preserve">   </w:t>
      </w:r>
      <w:r w:rsidR="00581E7E" w:rsidRPr="000930C3">
        <w:rPr>
          <w:rFonts w:ascii="Times New Roman" w:hAnsi="Times New Roman" w:cs="Times New Roman"/>
          <w:color w:val="000000" w:themeColor="text1"/>
          <w:sz w:val="24"/>
          <w:szCs w:val="24"/>
        </w:rPr>
        <w:t xml:space="preserve">In spite of this reality, PCCD is engaged in a constant analysis and activities to reverse the declining enrollment trend.  The following tables are explained in depth in the </w:t>
      </w:r>
      <w:r w:rsidR="00581E7E" w:rsidRPr="000930C3">
        <w:rPr>
          <w:rFonts w:ascii="Times New Roman" w:hAnsi="Times New Roman" w:cs="Times New Roman"/>
          <w:color w:val="4472C4" w:themeColor="accent1"/>
          <w:sz w:val="24"/>
          <w:szCs w:val="24"/>
        </w:rPr>
        <w:t>District and college Enrollment Management Plans</w:t>
      </w:r>
      <w:r w:rsidR="00581E7E" w:rsidRPr="000930C3">
        <w:rPr>
          <w:rFonts w:ascii="Times New Roman" w:hAnsi="Times New Roman" w:cs="Times New Roman"/>
          <w:color w:val="000000" w:themeColor="text1"/>
          <w:sz w:val="24"/>
          <w:szCs w:val="24"/>
        </w:rPr>
        <w:t xml:space="preserve">. </w:t>
      </w:r>
      <w:r w:rsidR="00581E7E" w:rsidRPr="000930C3">
        <w:rPr>
          <w:rFonts w:ascii="Times New Roman" w:hAnsi="Times New Roman" w:cs="Times New Roman"/>
          <w:color w:val="000000" w:themeColor="text1"/>
          <w:sz w:val="24"/>
          <w:szCs w:val="24"/>
          <w:highlight w:val="yellow"/>
        </w:rPr>
        <w:t>(add hyperlinks)</w:t>
      </w:r>
    </w:p>
    <w:p w14:paraId="11AAD26B" w14:textId="77777777" w:rsidR="00581E7E" w:rsidRPr="000930C3" w:rsidRDefault="00581E7E" w:rsidP="00581E7E">
      <w:pPr>
        <w:spacing w:after="0" w:line="240" w:lineRule="auto"/>
        <w:rPr>
          <w:rFonts w:ascii="Times New Roman" w:hAnsi="Times New Roman" w:cs="Times New Roman"/>
          <w:color w:val="000000" w:themeColor="text1"/>
          <w:sz w:val="24"/>
          <w:szCs w:val="24"/>
        </w:rPr>
      </w:pPr>
    </w:p>
    <w:p w14:paraId="6156FB2E" w14:textId="0F33E7B8" w:rsidR="00581E7E" w:rsidRPr="000930C3" w:rsidRDefault="00581E7E" w:rsidP="00581E7E">
      <w:pPr>
        <w:spacing w:after="0" w:line="240" w:lineRule="auto"/>
        <w:rPr>
          <w:rFonts w:ascii="Times New Roman" w:hAnsi="Times New Roman" w:cs="Times New Roman"/>
          <w:color w:val="FF0000"/>
          <w:sz w:val="24"/>
          <w:szCs w:val="24"/>
        </w:rPr>
      </w:pPr>
      <w:r w:rsidRPr="000930C3">
        <w:rPr>
          <w:rFonts w:ascii="Times New Roman" w:hAnsi="Times New Roman" w:cs="Times New Roman"/>
          <w:color w:val="FF0000"/>
          <w:sz w:val="24"/>
          <w:szCs w:val="24"/>
          <w:highlight w:val="yellow"/>
        </w:rPr>
        <w:t xml:space="preserve">Insert SEM crosswalk or if </w:t>
      </w:r>
      <w:r w:rsidR="008D52BC" w:rsidRPr="000930C3">
        <w:rPr>
          <w:rFonts w:ascii="Times New Roman" w:hAnsi="Times New Roman" w:cs="Times New Roman"/>
          <w:color w:val="FF0000"/>
          <w:sz w:val="24"/>
          <w:szCs w:val="24"/>
          <w:highlight w:val="yellow"/>
        </w:rPr>
        <w:t>it’s</w:t>
      </w:r>
      <w:r w:rsidRPr="000930C3">
        <w:rPr>
          <w:rFonts w:ascii="Times New Roman" w:hAnsi="Times New Roman" w:cs="Times New Roman"/>
          <w:color w:val="FF0000"/>
          <w:sz w:val="24"/>
          <w:szCs w:val="24"/>
          <w:highlight w:val="yellow"/>
        </w:rPr>
        <w:t xml:space="preserve"> too big then </w:t>
      </w:r>
      <w:r w:rsidR="008D52BC" w:rsidRPr="000930C3">
        <w:rPr>
          <w:rFonts w:ascii="Times New Roman" w:hAnsi="Times New Roman" w:cs="Times New Roman"/>
          <w:color w:val="FF0000"/>
          <w:sz w:val="24"/>
          <w:szCs w:val="24"/>
          <w:highlight w:val="yellow"/>
        </w:rPr>
        <w:t>let’s</w:t>
      </w:r>
      <w:r w:rsidRPr="000930C3">
        <w:rPr>
          <w:rFonts w:ascii="Times New Roman" w:hAnsi="Times New Roman" w:cs="Times New Roman"/>
          <w:color w:val="FF0000"/>
          <w:sz w:val="24"/>
          <w:szCs w:val="24"/>
          <w:highlight w:val="yellow"/>
        </w:rPr>
        <w:t xml:space="preserve"> make a brief sample of the chart activities and then link to the full chart.</w:t>
      </w:r>
    </w:p>
    <w:p w14:paraId="60EF0946" w14:textId="77777777" w:rsidR="00581E7E" w:rsidRPr="000930C3" w:rsidRDefault="00581E7E" w:rsidP="00581E7E">
      <w:pPr>
        <w:spacing w:after="0" w:line="240" w:lineRule="auto"/>
        <w:rPr>
          <w:rFonts w:ascii="Times New Roman" w:hAnsi="Times New Roman" w:cs="Times New Roman"/>
          <w:color w:val="000000" w:themeColor="text1"/>
          <w:sz w:val="24"/>
          <w:szCs w:val="24"/>
        </w:rPr>
      </w:pPr>
    </w:p>
    <w:p w14:paraId="4D439C0B" w14:textId="1387B0F9"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rPr>
        <w:t>Importantly, in this era of declining enrollment</w:t>
      </w:r>
      <w:r w:rsidR="002353C5">
        <w:rPr>
          <w:rFonts w:ascii="Times New Roman" w:hAnsi="Times New Roman" w:cs="Times New Roman"/>
          <w:color w:val="212121"/>
          <w:sz w:val="24"/>
          <w:szCs w:val="24"/>
        </w:rPr>
        <w:t>,</w:t>
      </w:r>
      <w:r w:rsidRPr="000930C3">
        <w:rPr>
          <w:rFonts w:ascii="Times New Roman" w:hAnsi="Times New Roman" w:cs="Times New Roman"/>
          <w:color w:val="212121"/>
          <w:sz w:val="24"/>
          <w:szCs w:val="24"/>
        </w:rPr>
        <w:t xml:space="preserve"> there are key areas of growth that have assisted in negating the full impact of the decline. These growth areas include, but are not limited to, dual enrollment, CDCP noncredit and online instruction. These and other areas continue to be the focus for growth, especially in light of the Student Centered Funding Formula which pays the enhanced rate ($5</w:t>
      </w:r>
      <w:r w:rsidR="00D64266">
        <w:rPr>
          <w:rFonts w:ascii="Times New Roman" w:hAnsi="Times New Roman" w:cs="Times New Roman"/>
          <w:color w:val="212121"/>
          <w:sz w:val="24"/>
          <w:szCs w:val="24"/>
        </w:rPr>
        <w:t>,</w:t>
      </w:r>
      <w:r w:rsidRPr="000930C3">
        <w:rPr>
          <w:rFonts w:ascii="Times New Roman" w:hAnsi="Times New Roman" w:cs="Times New Roman"/>
          <w:color w:val="212121"/>
          <w:sz w:val="24"/>
          <w:szCs w:val="24"/>
        </w:rPr>
        <w:t>474 per FTES) for dual enrollment and CDCP noncredit. </w:t>
      </w:r>
    </w:p>
    <w:p w14:paraId="35C63521" w14:textId="77777777"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bdr w:val="none" w:sz="0" w:space="0" w:color="auto" w:frame="1"/>
        </w:rPr>
        <w:t> </w:t>
      </w:r>
    </w:p>
    <w:p w14:paraId="0FF0F262" w14:textId="1D9F357C"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i/>
          <w:iCs/>
          <w:color w:val="212121"/>
          <w:sz w:val="24"/>
          <w:szCs w:val="24"/>
        </w:rPr>
        <w:t>Dual enrollment</w:t>
      </w:r>
      <w:r w:rsidRPr="000930C3">
        <w:rPr>
          <w:rFonts w:ascii="Times New Roman" w:hAnsi="Times New Roman" w:cs="Times New Roman"/>
          <w:color w:val="212121"/>
          <w:sz w:val="24"/>
          <w:szCs w:val="24"/>
        </w:rPr>
        <w:t xml:space="preserve">: Initiated prior to this legislation, the number of dual enrollment students has increased from 250 </w:t>
      </w:r>
      <w:r w:rsidR="002353C5">
        <w:rPr>
          <w:rFonts w:ascii="Times New Roman" w:hAnsi="Times New Roman" w:cs="Times New Roman"/>
          <w:color w:val="212121"/>
          <w:sz w:val="24"/>
          <w:szCs w:val="24"/>
        </w:rPr>
        <w:t xml:space="preserve">in </w:t>
      </w:r>
      <w:r w:rsidRPr="000930C3">
        <w:rPr>
          <w:rFonts w:ascii="Times New Roman" w:hAnsi="Times New Roman" w:cs="Times New Roman"/>
          <w:color w:val="212121"/>
          <w:sz w:val="24"/>
          <w:szCs w:val="24"/>
        </w:rPr>
        <w:t xml:space="preserve">fall 2015 to 1,709 </w:t>
      </w:r>
      <w:r w:rsidR="002353C5">
        <w:rPr>
          <w:rFonts w:ascii="Times New Roman" w:hAnsi="Times New Roman" w:cs="Times New Roman"/>
          <w:color w:val="212121"/>
          <w:sz w:val="24"/>
          <w:szCs w:val="24"/>
        </w:rPr>
        <w:t xml:space="preserve">in </w:t>
      </w:r>
      <w:r w:rsidRPr="000930C3">
        <w:rPr>
          <w:rFonts w:ascii="Times New Roman" w:hAnsi="Times New Roman" w:cs="Times New Roman"/>
          <w:color w:val="212121"/>
          <w:sz w:val="24"/>
          <w:szCs w:val="24"/>
        </w:rPr>
        <w:t>fall, 2018. For the fiscal year 2018-2019</w:t>
      </w:r>
      <w:r w:rsidR="002353C5">
        <w:rPr>
          <w:rFonts w:ascii="Times New Roman" w:hAnsi="Times New Roman" w:cs="Times New Roman"/>
          <w:color w:val="212121"/>
          <w:sz w:val="24"/>
          <w:szCs w:val="24"/>
        </w:rPr>
        <w:t>,</w:t>
      </w:r>
      <w:r w:rsidRPr="000930C3">
        <w:rPr>
          <w:rFonts w:ascii="Times New Roman" w:hAnsi="Times New Roman" w:cs="Times New Roman"/>
          <w:color w:val="212121"/>
          <w:sz w:val="24"/>
          <w:szCs w:val="24"/>
        </w:rPr>
        <w:t xml:space="preserve"> the State used 2017-2018 data. This resulted in 1,093 dual enrollment FTES, adding over $6 million dollars to PCCD allocation. </w:t>
      </w:r>
    </w:p>
    <w:p w14:paraId="298F4057" w14:textId="77777777"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bdr w:val="none" w:sz="0" w:space="0" w:color="auto" w:frame="1"/>
        </w:rPr>
        <w:t> </w:t>
      </w:r>
    </w:p>
    <w:p w14:paraId="77A41FEB" w14:textId="77777777"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i/>
          <w:iCs/>
          <w:color w:val="212121"/>
          <w:sz w:val="24"/>
          <w:szCs w:val="24"/>
        </w:rPr>
        <w:t>Online instruction</w:t>
      </w:r>
      <w:r w:rsidRPr="000930C3">
        <w:rPr>
          <w:rFonts w:ascii="Times New Roman" w:hAnsi="Times New Roman" w:cs="Times New Roman"/>
          <w:color w:val="212121"/>
          <w:sz w:val="24"/>
          <w:szCs w:val="24"/>
        </w:rPr>
        <w:t xml:space="preserve">: The percentage of students taking online instruction increased from 19% (2011-2012) to 30% in 2016-2017. This includes an increase of 6% who were students taking </w:t>
      </w:r>
      <w:r w:rsidRPr="000930C3">
        <w:rPr>
          <w:rFonts w:ascii="Times New Roman" w:hAnsi="Times New Roman" w:cs="Times New Roman"/>
          <w:color w:val="212121"/>
          <w:sz w:val="24"/>
          <w:szCs w:val="24"/>
        </w:rPr>
        <w:lastRenderedPageBreak/>
        <w:t>online instruction for the first time and 17% who were outside of the PCCD service area. Notably, FTES for distance education courses has increased to almost 20% of the district FTES total, counteracting a significant decline in FTES for traditional courses.</w:t>
      </w:r>
    </w:p>
    <w:p w14:paraId="6E698429" w14:textId="77777777"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bdr w:val="none" w:sz="0" w:space="0" w:color="auto" w:frame="1"/>
        </w:rPr>
        <w:t> </w:t>
      </w:r>
    </w:p>
    <w:p w14:paraId="61001A98" w14:textId="71901B52" w:rsidR="00581E7E" w:rsidRPr="000930C3" w:rsidRDefault="00581E7E" w:rsidP="00581E7E">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i/>
          <w:iCs/>
          <w:color w:val="212121"/>
          <w:sz w:val="24"/>
          <w:szCs w:val="24"/>
        </w:rPr>
        <w:t>CDCP noncredit</w:t>
      </w:r>
      <w:r w:rsidRPr="000930C3">
        <w:rPr>
          <w:rFonts w:ascii="Times New Roman" w:hAnsi="Times New Roman" w:cs="Times New Roman"/>
          <w:color w:val="212121"/>
          <w:sz w:val="24"/>
          <w:szCs w:val="24"/>
        </w:rPr>
        <w:t>: A focus on CDCP noncredit was initiated in PCCD when the State began offering full apportionment in 2014 (SB 860). To date the number of CDCP noncredit certificate</w:t>
      </w:r>
      <w:r w:rsidR="00191E88" w:rsidRPr="000930C3">
        <w:rPr>
          <w:rFonts w:ascii="Times New Roman" w:hAnsi="Times New Roman" w:cs="Times New Roman"/>
          <w:color w:val="212121"/>
          <w:sz w:val="24"/>
          <w:szCs w:val="24"/>
        </w:rPr>
        <w:t>s has grown from 0 in 2014 to 11</w:t>
      </w:r>
      <w:r w:rsidRPr="000930C3">
        <w:rPr>
          <w:rFonts w:ascii="Times New Roman" w:hAnsi="Times New Roman" w:cs="Times New Roman"/>
          <w:color w:val="212121"/>
          <w:sz w:val="24"/>
          <w:szCs w:val="24"/>
        </w:rPr>
        <w:t xml:space="preserve"> in the fall of 2018, with an additional 18 CDCP certificates in the approval p</w:t>
      </w:r>
      <w:r w:rsidR="002A7EE7" w:rsidRPr="000930C3">
        <w:rPr>
          <w:rFonts w:ascii="Times New Roman" w:hAnsi="Times New Roman" w:cs="Times New Roman"/>
          <w:color w:val="212121"/>
          <w:sz w:val="24"/>
          <w:szCs w:val="24"/>
        </w:rPr>
        <w:t xml:space="preserve">rocess locally and at the State. </w:t>
      </w:r>
      <w:r w:rsidRPr="000930C3">
        <w:rPr>
          <w:rFonts w:ascii="Times New Roman" w:hAnsi="Times New Roman" w:cs="Times New Roman"/>
          <w:color w:val="212121"/>
          <w:sz w:val="24"/>
          <w:szCs w:val="24"/>
        </w:rPr>
        <w:t>As noted in the PCCD Strategic Enrollment Management Plan, the expected revenues in the Basic Allocation of the SCFF from these efforts is projected as follows:</w:t>
      </w:r>
    </w:p>
    <w:p w14:paraId="5C09233E" w14:textId="77777777" w:rsidR="00581E7E" w:rsidRPr="00B14CE1" w:rsidRDefault="00581E7E" w:rsidP="00581E7E">
      <w:pPr>
        <w:shd w:val="clear" w:color="auto" w:fill="FFFFFF"/>
        <w:spacing w:after="0" w:line="240" w:lineRule="auto"/>
        <w:rPr>
          <w:rFonts w:ascii="Cambria" w:hAnsi="Cambria" w:cs="Times New Roman"/>
          <w:color w:val="212121"/>
          <w:sz w:val="24"/>
          <w:szCs w:val="24"/>
        </w:rPr>
      </w:pPr>
      <w:r w:rsidRPr="00B14CE1">
        <w:rPr>
          <w:rFonts w:ascii="Cambria" w:hAnsi="Cambria" w:cs="Times New Roman"/>
          <w:color w:val="212121"/>
          <w:sz w:val="24"/>
          <w:szCs w:val="24"/>
          <w:bdr w:val="none" w:sz="0" w:space="0" w:color="auto" w:frame="1"/>
        </w:rPr>
        <w:t> </w:t>
      </w:r>
    </w:p>
    <w:p w14:paraId="6599DC2F" w14:textId="2D79A7F8" w:rsidR="00581E7E" w:rsidRPr="00B14CE1" w:rsidRDefault="00990D58" w:rsidP="00581E7E">
      <w:pPr>
        <w:shd w:val="clear" w:color="auto" w:fill="FFFFFF"/>
        <w:spacing w:after="0" w:line="240" w:lineRule="auto"/>
        <w:rPr>
          <w:rFonts w:ascii="Cambria" w:hAnsi="Cambria" w:cs="Times New Roman"/>
          <w:color w:val="212121"/>
          <w:sz w:val="24"/>
          <w:szCs w:val="24"/>
        </w:rPr>
      </w:pPr>
      <w:r>
        <w:rPr>
          <w:noProof/>
        </w:rPr>
        <w:drawing>
          <wp:inline distT="0" distB="0" distL="0" distR="0" wp14:anchorId="2F2DACFC" wp14:editId="1D65F821">
            <wp:extent cx="5858168"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8168" cy="914400"/>
                    </a:xfrm>
                    <a:prstGeom prst="rect">
                      <a:avLst/>
                    </a:prstGeom>
                  </pic:spPr>
                </pic:pic>
              </a:graphicData>
            </a:graphic>
          </wp:inline>
        </w:drawing>
      </w:r>
    </w:p>
    <w:p w14:paraId="5AA0EF08" w14:textId="77777777" w:rsidR="00581E7E" w:rsidRPr="00516F61" w:rsidRDefault="00581E7E" w:rsidP="00581E7E">
      <w:pPr>
        <w:shd w:val="clear" w:color="auto" w:fill="FFFFFF"/>
        <w:spacing w:after="0" w:line="240" w:lineRule="auto"/>
        <w:rPr>
          <w:rFonts w:ascii="Times New Roman" w:hAnsi="Times New Roman" w:cs="Times New Roman"/>
          <w:color w:val="212121"/>
          <w:sz w:val="24"/>
          <w:szCs w:val="24"/>
        </w:rPr>
      </w:pPr>
      <w:r w:rsidRPr="00B14CE1">
        <w:rPr>
          <w:rFonts w:ascii="Cambria" w:hAnsi="Cambria" w:cs="Times New Roman"/>
          <w:color w:val="212121"/>
          <w:sz w:val="24"/>
          <w:szCs w:val="24"/>
          <w:bdr w:val="none" w:sz="0" w:space="0" w:color="auto" w:frame="1"/>
        </w:rPr>
        <w:t> </w:t>
      </w:r>
    </w:p>
    <w:p w14:paraId="6AFEFEB0" w14:textId="77777777" w:rsidR="00581E7E" w:rsidRPr="00516F61" w:rsidRDefault="00581E7E" w:rsidP="00581E7E">
      <w:p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color w:val="212121"/>
          <w:sz w:val="24"/>
          <w:szCs w:val="24"/>
        </w:rPr>
        <w:t>PCCD intends to support these growth areas through strategies such as the following:</w:t>
      </w:r>
    </w:p>
    <w:p w14:paraId="59A1881A" w14:textId="3BDD7CA7" w:rsidR="005A6DE2" w:rsidRPr="00516F61" w:rsidRDefault="005A6DE2" w:rsidP="005A6DE2">
      <w:pPr>
        <w:pStyle w:val="ListParagraph"/>
        <w:numPr>
          <w:ilvl w:val="0"/>
          <w:numId w:val="5"/>
        </w:num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i/>
          <w:iCs/>
          <w:color w:val="212121"/>
          <w:sz w:val="24"/>
          <w:szCs w:val="24"/>
        </w:rPr>
        <w:t>Increase the number of CDCP noncredit program partnerships</w:t>
      </w:r>
      <w:r w:rsidRPr="00516F61">
        <w:rPr>
          <w:rFonts w:ascii="Times New Roman" w:hAnsi="Times New Roman" w:cs="Times New Roman"/>
          <w:color w:val="212121"/>
          <w:sz w:val="24"/>
          <w:szCs w:val="24"/>
        </w:rPr>
        <w:t xml:space="preserve"> – As stated in its recent </w:t>
      </w:r>
      <w:r w:rsidRPr="00516F61">
        <w:rPr>
          <w:rFonts w:ascii="Times New Roman" w:hAnsi="Times New Roman" w:cs="Times New Roman"/>
          <w:color w:val="212121"/>
          <w:sz w:val="24"/>
          <w:szCs w:val="24"/>
          <w:highlight w:val="yellow"/>
        </w:rPr>
        <w:t>Noncredit Plan for Development</w:t>
      </w:r>
      <w:r w:rsidRPr="00516F61">
        <w:rPr>
          <w:rFonts w:ascii="Times New Roman" w:hAnsi="Times New Roman" w:cs="Times New Roman"/>
          <w:color w:val="212121"/>
          <w:sz w:val="24"/>
          <w:szCs w:val="24"/>
        </w:rPr>
        <w:t xml:space="preserve"> (add hyperlink), Peralta will expand existing partnerships with Community Based Organizations and work in collaboration with adult schools in its service area.</w:t>
      </w:r>
    </w:p>
    <w:p w14:paraId="6ABE4AD6" w14:textId="0CD16F25" w:rsidR="005A6DE2" w:rsidRPr="00516F61" w:rsidRDefault="005A6DE2" w:rsidP="00581E7E">
      <w:pPr>
        <w:shd w:val="clear" w:color="auto" w:fill="FFFFFF"/>
        <w:spacing w:after="0" w:line="240" w:lineRule="auto"/>
        <w:ind w:left="720"/>
        <w:rPr>
          <w:rFonts w:ascii="Times New Roman" w:hAnsi="Times New Roman" w:cs="Times New Roman"/>
          <w:color w:val="212121"/>
          <w:sz w:val="14"/>
          <w:szCs w:val="14"/>
          <w:bdr w:val="none" w:sz="0" w:space="0" w:color="auto" w:frame="1"/>
        </w:rPr>
      </w:pPr>
    </w:p>
    <w:p w14:paraId="537D9EA5" w14:textId="5F93B81B" w:rsidR="00581E7E" w:rsidRPr="00516F61" w:rsidRDefault="00581E7E" w:rsidP="005A6DE2">
      <w:pPr>
        <w:pStyle w:val="ListParagraph"/>
        <w:numPr>
          <w:ilvl w:val="0"/>
          <w:numId w:val="5"/>
        </w:num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i/>
          <w:iCs/>
          <w:color w:val="212121"/>
          <w:sz w:val="24"/>
          <w:szCs w:val="24"/>
        </w:rPr>
        <w:t>Increase distance education course offerings across the district</w:t>
      </w:r>
      <w:r w:rsidRPr="00516F61">
        <w:rPr>
          <w:rFonts w:ascii="Times New Roman" w:hAnsi="Times New Roman" w:cs="Times New Roman"/>
          <w:color w:val="212121"/>
          <w:sz w:val="24"/>
          <w:szCs w:val="24"/>
        </w:rPr>
        <w:t> – By providing more online and hybrid course options, especially in noncredit and dual enrollment areas, Peralta will support responsible growth that helps students complete programs, credentials, and certificates, and that addresses local workforce needs.</w:t>
      </w:r>
    </w:p>
    <w:p w14:paraId="153C11C3" w14:textId="7070B141" w:rsidR="00581E7E" w:rsidRPr="00516F61" w:rsidRDefault="00581E7E" w:rsidP="005A6DE2">
      <w:pPr>
        <w:pStyle w:val="ListParagraph"/>
        <w:numPr>
          <w:ilvl w:val="0"/>
          <w:numId w:val="5"/>
        </w:num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i/>
          <w:iCs/>
          <w:color w:val="212121"/>
          <w:sz w:val="24"/>
          <w:szCs w:val="24"/>
        </w:rPr>
        <w:t>Increase online student retention and success rates to the same levels as the retention and success rates for students in face-to-face classes</w:t>
      </w:r>
      <w:r w:rsidRPr="00516F61">
        <w:rPr>
          <w:rFonts w:ascii="Times New Roman" w:hAnsi="Times New Roman" w:cs="Times New Roman"/>
          <w:color w:val="212121"/>
          <w:sz w:val="24"/>
          <w:szCs w:val="24"/>
        </w:rPr>
        <w:t> – It is not enough to increase enrollments in online courses. Peralta recognizes the change in funding emphasis—from enrollment to completion—and is taking the necessary steps to address achievement gaps for specific groups of online learners across the district.</w:t>
      </w:r>
      <w:r w:rsidR="005A6DE2" w:rsidRPr="00516F61">
        <w:rPr>
          <w:rFonts w:ascii="Times New Roman" w:hAnsi="Times New Roman" w:cs="Times New Roman"/>
          <w:color w:val="212121"/>
          <w:sz w:val="24"/>
          <w:szCs w:val="24"/>
        </w:rPr>
        <w:t xml:space="preserve">  By doing so there is a potential multi-year ability to retain 1,699 students. As Distance Education continues to expand this becomes even more important and in light of the SCFF the impact is further enhanced fiscally in that increased retention, persistence and completion.</w:t>
      </w:r>
    </w:p>
    <w:p w14:paraId="1C6759D0" w14:textId="77777777" w:rsidR="005A6DE2" w:rsidRPr="005A6DE2" w:rsidRDefault="005A6DE2" w:rsidP="005A6DE2">
      <w:pPr>
        <w:pStyle w:val="ListParagraph"/>
        <w:shd w:val="clear" w:color="auto" w:fill="FFFFFF"/>
        <w:spacing w:after="0" w:line="240" w:lineRule="auto"/>
        <w:ind w:left="1440"/>
        <w:rPr>
          <w:rFonts w:ascii="Cambria" w:hAnsi="Cambria" w:cs="Times New Roman"/>
          <w:color w:val="212121"/>
          <w:sz w:val="24"/>
          <w:szCs w:val="24"/>
        </w:rPr>
      </w:pPr>
    </w:p>
    <w:p w14:paraId="2BCD25EE" w14:textId="08E7D9DB" w:rsidR="005A6DE2" w:rsidRPr="00B14CE1" w:rsidRDefault="005A6DE2" w:rsidP="00581E7E">
      <w:pPr>
        <w:shd w:val="clear" w:color="auto" w:fill="FFFFFF"/>
        <w:spacing w:after="0" w:line="240" w:lineRule="auto"/>
        <w:ind w:left="720"/>
        <w:rPr>
          <w:rFonts w:ascii="Cambria" w:hAnsi="Cambria" w:cs="Times New Roman"/>
          <w:color w:val="212121"/>
          <w:sz w:val="24"/>
          <w:szCs w:val="24"/>
        </w:rPr>
      </w:pPr>
      <w:r>
        <w:rPr>
          <w:noProof/>
        </w:rPr>
        <w:drawing>
          <wp:inline distT="0" distB="0" distL="0" distR="0" wp14:anchorId="419D6220" wp14:editId="6A7F4AE5">
            <wp:extent cx="5943600" cy="17056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705610"/>
                    </a:xfrm>
                    <a:prstGeom prst="rect">
                      <a:avLst/>
                    </a:prstGeom>
                  </pic:spPr>
                </pic:pic>
              </a:graphicData>
            </a:graphic>
          </wp:inline>
        </w:drawing>
      </w:r>
    </w:p>
    <w:p w14:paraId="6590AFEA" w14:textId="77777777" w:rsidR="00581E7E" w:rsidRDefault="00581E7E" w:rsidP="00581E7E">
      <w:pPr>
        <w:spacing w:after="0"/>
        <w:rPr>
          <w:rFonts w:ascii="Times New Roman" w:hAnsi="Times New Roman" w:cs="Times New Roman"/>
          <w:sz w:val="24"/>
          <w:szCs w:val="24"/>
        </w:rPr>
      </w:pPr>
    </w:p>
    <w:p w14:paraId="684C6E6F" w14:textId="77777777" w:rsidR="00191E88" w:rsidRDefault="00191E88" w:rsidP="005A6DE2">
      <w:pPr>
        <w:spacing w:after="0"/>
        <w:rPr>
          <w:rFonts w:ascii="Times New Roman" w:hAnsi="Times New Roman" w:cs="Times New Roman"/>
          <w:sz w:val="24"/>
          <w:szCs w:val="24"/>
        </w:rPr>
      </w:pPr>
    </w:p>
    <w:p w14:paraId="3DD7E90F" w14:textId="48C4160E" w:rsidR="00581E7E" w:rsidRDefault="00581E7E" w:rsidP="00581E7E">
      <w:pPr>
        <w:pStyle w:val="Default"/>
        <w:rPr>
          <w:rFonts w:ascii="Times New Roman" w:hAnsi="Times New Roman" w:cs="Times New Roman"/>
          <w:b/>
        </w:rPr>
      </w:pPr>
      <w:r w:rsidRPr="000158A6">
        <w:rPr>
          <w:rFonts w:ascii="Times New Roman" w:hAnsi="Times New Roman" w:cs="Times New Roman"/>
          <w:b/>
        </w:rPr>
        <w:t>District Shared Governance Structure</w:t>
      </w:r>
    </w:p>
    <w:p w14:paraId="258EE3AA" w14:textId="77777777" w:rsidR="008D52BC" w:rsidRDefault="008D52BC" w:rsidP="00581E7E">
      <w:pPr>
        <w:pStyle w:val="Default"/>
        <w:rPr>
          <w:rFonts w:ascii="Times New Roman" w:hAnsi="Times New Roman" w:cs="Times New Roman"/>
          <w:b/>
        </w:rPr>
      </w:pPr>
    </w:p>
    <w:p w14:paraId="1F14B54D" w14:textId="77777777" w:rsidR="00581E7E" w:rsidRPr="00E15FFD" w:rsidRDefault="00581E7E" w:rsidP="00581E7E">
      <w:pPr>
        <w:pStyle w:val="Default"/>
        <w:rPr>
          <w:rFonts w:ascii="Times New Roman" w:hAnsi="Times New Roman" w:cs="Times New Roman"/>
        </w:rPr>
      </w:pPr>
      <w:r w:rsidRPr="00BA59B3">
        <w:rPr>
          <w:rFonts w:ascii="Times New Roman" w:hAnsi="Times New Roman" w:cs="Times New Roman"/>
        </w:rPr>
        <w:t>Shared governance is central to the PCCD decision making process and key to all financial planning.</w:t>
      </w:r>
      <w:r>
        <w:rPr>
          <w:rFonts w:ascii="Times New Roman" w:hAnsi="Times New Roman" w:cs="Times New Roman"/>
        </w:rPr>
        <w:t xml:space="preserve"> This process is called the </w:t>
      </w:r>
      <w:hyperlink r:id="rId20" w:history="1">
        <w:r w:rsidRPr="000158A6">
          <w:rPr>
            <w:rStyle w:val="Hyperlink"/>
            <w:rFonts w:ascii="Times New Roman" w:hAnsi="Times New Roman" w:cs="Times New Roman"/>
            <w:b/>
          </w:rPr>
          <w:t>Planning and Budget Integration Model</w:t>
        </w:r>
      </w:hyperlink>
      <w:r w:rsidRPr="000158A6">
        <w:rPr>
          <w:rStyle w:val="Hyperlink"/>
          <w:rFonts w:ascii="Times New Roman" w:hAnsi="Times New Roman" w:cs="Times New Roman"/>
          <w:b/>
        </w:rPr>
        <w:t xml:space="preserve"> (PBIM)</w:t>
      </w:r>
      <w:r w:rsidRPr="000158A6">
        <w:rPr>
          <w:rFonts w:ascii="Times New Roman" w:hAnsi="Times New Roman" w:cs="Times New Roman"/>
          <w:b/>
        </w:rPr>
        <w:t>.</w:t>
      </w:r>
      <w:r>
        <w:rPr>
          <w:rFonts w:ascii="Times New Roman" w:hAnsi="Times New Roman" w:cs="Times New Roman"/>
        </w:rPr>
        <w:t xml:space="preserve">  </w:t>
      </w:r>
      <w:r w:rsidRPr="00E15FFD">
        <w:rPr>
          <w:rFonts w:ascii="Times New Roman" w:hAnsi="Times New Roman" w:cs="Times New Roman"/>
        </w:rPr>
        <w:t>The PBIM utilizes a participatory governance model for operational planning and resource allocation that integrates the four key elements of the st</w:t>
      </w:r>
      <w:r>
        <w:rPr>
          <w:rFonts w:ascii="Times New Roman" w:hAnsi="Times New Roman" w:cs="Times New Roman"/>
        </w:rPr>
        <w:t>rategic planning cycle district</w:t>
      </w:r>
      <w:r w:rsidRPr="00E15FFD">
        <w:rPr>
          <w:rFonts w:ascii="Times New Roman" w:hAnsi="Times New Roman" w:cs="Times New Roman"/>
        </w:rPr>
        <w:t>wide:</w:t>
      </w:r>
    </w:p>
    <w:p w14:paraId="787BFE12" w14:textId="77777777" w:rsidR="00581E7E" w:rsidRPr="00E15FFD" w:rsidRDefault="00581E7E" w:rsidP="00581E7E">
      <w:pPr>
        <w:pStyle w:val="p1"/>
        <w:spacing w:before="0" w:beforeAutospacing="0" w:after="0" w:afterAutospacing="0"/>
      </w:pPr>
    </w:p>
    <w:p w14:paraId="47CEF418" w14:textId="77777777" w:rsidR="00581E7E" w:rsidRPr="00E15FFD" w:rsidRDefault="00581E7E" w:rsidP="00581E7E">
      <w:pPr>
        <w:pStyle w:val="p2"/>
        <w:spacing w:before="0" w:beforeAutospacing="0" w:after="0" w:afterAutospacing="0"/>
        <w:ind w:left="288"/>
      </w:pPr>
      <w:r w:rsidRPr="00E15FFD">
        <w:sym w:font="Symbol" w:char="F0B7"/>
      </w:r>
      <w:r w:rsidRPr="00E15FFD">
        <w:t xml:space="preserve"> Planning</w:t>
      </w:r>
    </w:p>
    <w:p w14:paraId="69772AC9" w14:textId="77777777" w:rsidR="00581E7E" w:rsidRPr="00E15FFD" w:rsidRDefault="00581E7E" w:rsidP="00581E7E">
      <w:pPr>
        <w:pStyle w:val="p2"/>
        <w:spacing w:before="0" w:beforeAutospacing="0" w:after="0" w:afterAutospacing="0"/>
        <w:ind w:left="288"/>
      </w:pPr>
      <w:r w:rsidRPr="00E15FFD">
        <w:sym w:font="Symbol" w:char="F0B7"/>
      </w:r>
      <w:r w:rsidRPr="00E15FFD">
        <w:t xml:space="preserve"> Budgeting</w:t>
      </w:r>
    </w:p>
    <w:p w14:paraId="1BB15AB5" w14:textId="77777777" w:rsidR="00581E7E" w:rsidRPr="00E15FFD" w:rsidRDefault="00581E7E" w:rsidP="00581E7E">
      <w:pPr>
        <w:pStyle w:val="p2"/>
        <w:spacing w:before="0" w:beforeAutospacing="0" w:after="0" w:afterAutospacing="0"/>
        <w:ind w:left="288"/>
      </w:pPr>
      <w:r w:rsidRPr="00E15FFD">
        <w:sym w:font="Symbol" w:char="F0B7"/>
      </w:r>
      <w:r w:rsidRPr="00E15FFD">
        <w:t xml:space="preserve"> Resource allocation</w:t>
      </w:r>
    </w:p>
    <w:p w14:paraId="7DF184A0" w14:textId="77777777" w:rsidR="00581E7E" w:rsidRPr="00E15FFD" w:rsidRDefault="00581E7E" w:rsidP="00581E7E">
      <w:pPr>
        <w:pStyle w:val="p1"/>
        <w:spacing w:before="0" w:beforeAutospacing="0" w:after="0" w:afterAutospacing="0"/>
        <w:ind w:left="288"/>
      </w:pPr>
      <w:r w:rsidRPr="00E15FFD">
        <w:sym w:font="Symbol" w:char="F0B7"/>
      </w:r>
      <w:r w:rsidRPr="00E15FFD">
        <w:t xml:space="preserve"> Evaluation</w:t>
      </w:r>
    </w:p>
    <w:p w14:paraId="3579FB24" w14:textId="77777777" w:rsidR="00581E7E" w:rsidRDefault="00581E7E" w:rsidP="00581E7E">
      <w:pPr>
        <w:pStyle w:val="p1"/>
        <w:spacing w:before="0" w:beforeAutospacing="0" w:after="0" w:afterAutospacing="0"/>
        <w:ind w:left="288"/>
      </w:pPr>
    </w:p>
    <w:p w14:paraId="23A4683A" w14:textId="77777777" w:rsidR="00581E7E" w:rsidRDefault="00581E7E" w:rsidP="00581E7E">
      <w:pPr>
        <w:pStyle w:val="p1"/>
        <w:spacing w:before="0" w:beforeAutospacing="0" w:after="0" w:afterAutospacing="0"/>
      </w:pPr>
      <w:r>
        <w:t>PBIM relies upon its strategic planning processes as the foundation for integrating planning and budgeting. Strategic planning includes the District Strategic Plan and planning for Academic Affairs, Student Services, Facilities, Information Technology, Human Resources, Enrollment Management, and Fiscal Resources.  The colleges, working in partnership with the District Service Centers, have the primary responsibility for developing educational and resource plans that meet the needs of students.</w:t>
      </w:r>
    </w:p>
    <w:p w14:paraId="753F2BDE" w14:textId="77777777" w:rsidR="00581E7E" w:rsidRDefault="00581E7E" w:rsidP="00581E7E">
      <w:pPr>
        <w:pStyle w:val="p1"/>
        <w:spacing w:before="0" w:beforeAutospacing="0" w:after="0" w:afterAutospacing="0"/>
      </w:pPr>
    </w:p>
    <w:p w14:paraId="7D354F26" w14:textId="76ACEC4F" w:rsidR="008D52BC" w:rsidRDefault="00581E7E" w:rsidP="008D52BC">
      <w:pPr>
        <w:spacing w:after="0" w:line="240" w:lineRule="auto"/>
        <w:rPr>
          <w:rFonts w:ascii="Times New Roman" w:hAnsi="Times New Roman" w:cs="Times New Roman"/>
          <w:sz w:val="24"/>
          <w:szCs w:val="24"/>
        </w:rPr>
      </w:pPr>
      <w:r w:rsidRPr="000158A6">
        <w:rPr>
          <w:rFonts w:ascii="Times New Roman" w:hAnsi="Times New Roman" w:cs="Times New Roman"/>
          <w:b/>
        </w:rPr>
        <w:t>PBIM Committees.</w:t>
      </w:r>
      <w:r w:rsidRPr="00E15FFD">
        <w:rPr>
          <w:rFonts w:ascii="Times New Roman" w:hAnsi="Times New Roman" w:cs="Times New Roman"/>
        </w:rPr>
        <w:t xml:space="preserve">  PBIM communities</w:t>
      </w:r>
      <w:r>
        <w:rPr>
          <w:rFonts w:ascii="Times New Roman" w:hAnsi="Times New Roman" w:cs="Times New Roman"/>
          <w:u w:val="single"/>
        </w:rPr>
        <w:t xml:space="preserve"> </w:t>
      </w:r>
      <w:r>
        <w:rPr>
          <w:rFonts w:ascii="Times New Roman" w:hAnsi="Times New Roman" w:cs="Times New Roman"/>
        </w:rPr>
        <w:t xml:space="preserve">include Academic Affairs and Student Services Committee, Enrollment Management Committee, Technology Committee, and Facility Committee.  </w:t>
      </w:r>
      <w:r w:rsidR="008D52BC" w:rsidRPr="00482DDC">
        <w:rPr>
          <w:rFonts w:ascii="Times New Roman" w:hAnsi="Times New Roman" w:cs="Times New Roman"/>
          <w:sz w:val="24"/>
          <w:szCs w:val="24"/>
        </w:rPr>
        <w:t>Among the primary PBIM committees, three districtwide committees assume the major responsibility for analyzing enrollment and financial issues, developing strategies to take on the challenges, and coordinating with th</w:t>
      </w:r>
      <w:r w:rsidR="008D52BC">
        <w:rPr>
          <w:rFonts w:ascii="Times New Roman" w:hAnsi="Times New Roman" w:cs="Times New Roman"/>
          <w:sz w:val="24"/>
          <w:szCs w:val="24"/>
        </w:rPr>
        <w:t>e four colleges for implementation</w:t>
      </w:r>
      <w:r w:rsidR="008D52BC" w:rsidRPr="00482DDC">
        <w:rPr>
          <w:rFonts w:ascii="Times New Roman" w:hAnsi="Times New Roman" w:cs="Times New Roman"/>
          <w:sz w:val="24"/>
          <w:szCs w:val="24"/>
        </w:rPr>
        <w:t xml:space="preserve">.  </w:t>
      </w:r>
    </w:p>
    <w:p w14:paraId="62F27D8C" w14:textId="0BC73E9A" w:rsidR="00A734B4" w:rsidRDefault="00A734B4" w:rsidP="008D52BC">
      <w:pPr>
        <w:spacing w:after="0" w:line="240" w:lineRule="auto"/>
        <w:rPr>
          <w:rFonts w:ascii="Times New Roman" w:hAnsi="Times New Roman" w:cs="Times New Roman"/>
          <w:sz w:val="24"/>
          <w:szCs w:val="24"/>
        </w:rPr>
      </w:pPr>
    </w:p>
    <w:p w14:paraId="186AF8A9" w14:textId="77777777" w:rsidR="00581E7E" w:rsidRPr="00727249" w:rsidRDefault="005A77D3" w:rsidP="00581E7E">
      <w:pPr>
        <w:spacing w:after="360" w:line="240" w:lineRule="auto"/>
        <w:rPr>
          <w:rFonts w:ascii="Times New Roman" w:eastAsia="Times New Roman" w:hAnsi="Times New Roman" w:cs="Times New Roman"/>
          <w:sz w:val="24"/>
          <w:szCs w:val="24"/>
        </w:rPr>
      </w:pPr>
      <w:hyperlink r:id="rId21" w:history="1">
        <w:r w:rsidR="00581E7E" w:rsidRPr="000158A6">
          <w:rPr>
            <w:rStyle w:val="Hyperlink"/>
            <w:rFonts w:ascii="Times New Roman" w:eastAsia="Times New Roman" w:hAnsi="Times New Roman" w:cs="Times New Roman"/>
            <w:b/>
            <w:sz w:val="24"/>
            <w:szCs w:val="24"/>
          </w:rPr>
          <w:t>District Participatory Governance Council</w:t>
        </w:r>
      </w:hyperlink>
      <w:r w:rsidR="00581E7E">
        <w:rPr>
          <w:rStyle w:val="Hyperlink"/>
          <w:rFonts w:ascii="Times New Roman" w:eastAsia="Times New Roman" w:hAnsi="Times New Roman" w:cs="Times New Roman"/>
          <w:b/>
          <w:sz w:val="24"/>
          <w:szCs w:val="24"/>
        </w:rPr>
        <w:t xml:space="preserve"> (PGC)</w:t>
      </w:r>
      <w:r w:rsidR="00581E7E" w:rsidRPr="000158A6">
        <w:rPr>
          <w:rFonts w:ascii="Times New Roman" w:eastAsia="Times New Roman" w:hAnsi="Times New Roman" w:cs="Times New Roman"/>
          <w:b/>
          <w:sz w:val="24"/>
          <w:szCs w:val="24"/>
        </w:rPr>
        <w:t>.</w:t>
      </w:r>
      <w:r w:rsidR="00581E7E">
        <w:rPr>
          <w:rFonts w:ascii="Times New Roman" w:eastAsia="Times New Roman" w:hAnsi="Times New Roman" w:cs="Times New Roman"/>
          <w:sz w:val="24"/>
          <w:szCs w:val="24"/>
        </w:rPr>
        <w:t xml:space="preserve">  To enhance districtwide communication and decision-making process, PCCD has recently established a</w:t>
      </w:r>
      <w:r w:rsidR="00581E7E" w:rsidRPr="00727249">
        <w:rPr>
          <w:rFonts w:ascii="Times New Roman" w:eastAsia="Times New Roman" w:hAnsi="Times New Roman" w:cs="Times New Roman"/>
          <w:sz w:val="24"/>
          <w:szCs w:val="24"/>
        </w:rPr>
        <w:t xml:space="preserve"> District Participatory Governance Council </w:t>
      </w:r>
      <w:r w:rsidR="00581E7E">
        <w:rPr>
          <w:rFonts w:ascii="Times New Roman" w:eastAsia="Times New Roman" w:hAnsi="Times New Roman" w:cs="Times New Roman"/>
          <w:sz w:val="24"/>
          <w:szCs w:val="24"/>
        </w:rPr>
        <w:t>(PGC) that serves as the primary district</w:t>
      </w:r>
      <w:r w:rsidR="00581E7E" w:rsidRPr="00727249">
        <w:rPr>
          <w:rFonts w:ascii="Times New Roman" w:eastAsia="Times New Roman" w:hAnsi="Times New Roman" w:cs="Times New Roman"/>
          <w:sz w:val="24"/>
          <w:szCs w:val="24"/>
        </w:rPr>
        <w:t>wide advisory review body pertaining to major participatory governance issues affecting the Peralta Comm</w:t>
      </w:r>
      <w:r w:rsidR="00581E7E">
        <w:rPr>
          <w:rFonts w:ascii="Times New Roman" w:eastAsia="Times New Roman" w:hAnsi="Times New Roman" w:cs="Times New Roman"/>
          <w:sz w:val="24"/>
          <w:szCs w:val="24"/>
        </w:rPr>
        <w:t xml:space="preserve">unity College District and </w:t>
      </w:r>
      <w:r w:rsidR="00581E7E" w:rsidRPr="00727249">
        <w:rPr>
          <w:rFonts w:ascii="Times New Roman" w:eastAsia="Times New Roman" w:hAnsi="Times New Roman" w:cs="Times New Roman"/>
          <w:sz w:val="24"/>
          <w:szCs w:val="24"/>
        </w:rPr>
        <w:t>assure</w:t>
      </w:r>
      <w:r w:rsidR="00581E7E">
        <w:rPr>
          <w:rFonts w:ascii="Times New Roman" w:eastAsia="Times New Roman" w:hAnsi="Times New Roman" w:cs="Times New Roman"/>
          <w:sz w:val="24"/>
          <w:szCs w:val="24"/>
        </w:rPr>
        <w:t>s</w:t>
      </w:r>
      <w:r w:rsidR="00581E7E" w:rsidRPr="00727249">
        <w:rPr>
          <w:rFonts w:ascii="Times New Roman" w:eastAsia="Times New Roman" w:hAnsi="Times New Roman" w:cs="Times New Roman"/>
          <w:sz w:val="24"/>
          <w:szCs w:val="24"/>
        </w:rPr>
        <w:t xml:space="preserve"> the broad dissemination of information to constituent groups. All District PBIM Committees report to the District Participatory Governance Council. Specifically, the District Participatory Governance Council will:</w:t>
      </w:r>
    </w:p>
    <w:p w14:paraId="5AD2380B"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Advise the Chancellor on matters referred by the respective Colleges and/or other standing Councils or Committees; </w:t>
      </w:r>
    </w:p>
    <w:p w14:paraId="4DBCF73B"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Advise the Chancellor on matters relating to the development or revision of Board Policy/District Administrative Procedures; </w:t>
      </w:r>
    </w:p>
    <w:p w14:paraId="65656839"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the ongoing implementation of and ongoing assessment of the District’s Strategic Goals and Institutional Objectives; </w:t>
      </w:r>
    </w:p>
    <w:p w14:paraId="7E5C5215"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Advise the Chancellor on district-wide operational targets and goals to achieve the District’s Strategic Goals and Institutional Objectives; </w:t>
      </w:r>
    </w:p>
    <w:p w14:paraId="36C5E7BD"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PCCD’s integrated improvement plans to achieve the District’s Strategic Goals and Institutional Objectives; </w:t>
      </w:r>
    </w:p>
    <w:p w14:paraId="61581E17"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the progress and effectiveness of PCCD’s integrated improvement plans; </w:t>
      </w:r>
    </w:p>
    <w:p w14:paraId="0C874FCB"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Assure collaboration among the Colleges to address and maintain Accreditation Standards; </w:t>
      </w:r>
    </w:p>
    <w:p w14:paraId="3E0CE6C1"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lastRenderedPageBreak/>
        <w:t xml:space="preserve">Identify district-wide issues for discussion and follow-up, and make referrals to other PBIM Committees; </w:t>
      </w:r>
    </w:p>
    <w:p w14:paraId="0FFD42F2"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update, as needed, delineation of functions between the District Service Centers and the four Colleges; </w:t>
      </w:r>
    </w:p>
    <w:p w14:paraId="01FE06AC"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advocacy of community college issues at the local, state, and national levels; and, </w:t>
      </w:r>
    </w:p>
    <w:p w14:paraId="0952B646" w14:textId="77777777" w:rsidR="00581E7E" w:rsidRPr="00727249" w:rsidRDefault="00581E7E" w:rsidP="00581E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Monitor and evaluate the overall effectiveness of PBIM. </w:t>
      </w:r>
    </w:p>
    <w:p w14:paraId="72939C8B" w14:textId="77777777" w:rsidR="00A734B4" w:rsidRDefault="005A77D3" w:rsidP="00A734B4">
      <w:pPr>
        <w:pStyle w:val="Default"/>
        <w:rPr>
          <w:rFonts w:ascii="Times New Roman" w:hAnsi="Times New Roman" w:cs="Times New Roman"/>
        </w:rPr>
      </w:pPr>
      <w:hyperlink r:id="rId22" w:history="1">
        <w:r w:rsidR="00A734B4" w:rsidRPr="00CC314B">
          <w:rPr>
            <w:rStyle w:val="Hyperlink"/>
            <w:rFonts w:ascii="Times New Roman" w:hAnsi="Times New Roman" w:cs="Times New Roman"/>
          </w:rPr>
          <w:t>District Planning and Budgeting Council (PBC)</w:t>
        </w:r>
        <w:r w:rsidR="00A734B4">
          <w:rPr>
            <w:rStyle w:val="Hyperlink"/>
            <w:rFonts w:ascii="Times New Roman" w:hAnsi="Times New Roman" w:cs="Times New Roman"/>
          </w:rPr>
          <w:t>.</w:t>
        </w:r>
      </w:hyperlink>
      <w:r w:rsidR="00A734B4">
        <w:rPr>
          <w:rFonts w:ascii="Times New Roman" w:hAnsi="Times New Roman" w:cs="Times New Roman"/>
        </w:rPr>
        <w:t xml:space="preserve">  PBC </w:t>
      </w:r>
      <w:r w:rsidR="00A734B4" w:rsidRPr="001E042D">
        <w:rPr>
          <w:rFonts w:ascii="Times New Roman" w:hAnsi="Times New Roman" w:cs="Times New Roman"/>
        </w:rPr>
        <w:t>serves as the primary participatory governance body for the</w:t>
      </w:r>
      <w:r w:rsidR="00A734B4">
        <w:rPr>
          <w:rFonts w:ascii="Times New Roman" w:hAnsi="Times New Roman" w:cs="Times New Roman"/>
        </w:rPr>
        <w:t xml:space="preserve"> Peralta Colleges</w:t>
      </w:r>
      <w:r w:rsidR="00A734B4" w:rsidRPr="001E042D">
        <w:rPr>
          <w:rFonts w:ascii="Times New Roman" w:hAnsi="Times New Roman" w:cs="Times New Roman"/>
        </w:rPr>
        <w:t xml:space="preserve">, and is responsible for overseeing districtwide planning activities. </w:t>
      </w:r>
      <w:r w:rsidR="00A734B4">
        <w:rPr>
          <w:rFonts w:ascii="Times New Roman" w:hAnsi="Times New Roman" w:cs="Times New Roman"/>
        </w:rPr>
        <w:t>PBC</w:t>
      </w:r>
      <w:r w:rsidR="00A734B4" w:rsidRPr="001E042D">
        <w:rPr>
          <w:rFonts w:ascii="Times New Roman" w:hAnsi="Times New Roman" w:cs="Times New Roman"/>
        </w:rPr>
        <w:t xml:space="preserve"> provides guidance and input in the annual budget planning process</w:t>
      </w:r>
      <w:r w:rsidR="00A734B4">
        <w:rPr>
          <w:rFonts w:ascii="Times New Roman" w:hAnsi="Times New Roman" w:cs="Times New Roman"/>
        </w:rPr>
        <w:t>,</w:t>
      </w:r>
      <w:r w:rsidR="00A734B4" w:rsidRPr="001E042D">
        <w:rPr>
          <w:rFonts w:ascii="Times New Roman" w:hAnsi="Times New Roman" w:cs="Times New Roman"/>
        </w:rPr>
        <w:t xml:space="preserve"> including recommendations of districtwide budgeting assumptions. </w:t>
      </w:r>
      <w:r w:rsidR="00A734B4">
        <w:rPr>
          <w:rFonts w:ascii="Times New Roman" w:hAnsi="Times New Roman" w:cs="Times New Roman"/>
        </w:rPr>
        <w:t>It</w:t>
      </w:r>
      <w:r w:rsidR="00A734B4" w:rsidRPr="001E042D">
        <w:rPr>
          <w:rFonts w:ascii="Times New Roman" w:hAnsi="Times New Roman" w:cs="Times New Roman"/>
        </w:rPr>
        <w:t xml:space="preserve"> is also charged with the development, recommendation and monitoring of </w:t>
      </w:r>
      <w:r w:rsidR="00A734B4">
        <w:rPr>
          <w:rFonts w:ascii="Times New Roman" w:hAnsi="Times New Roman" w:cs="Times New Roman"/>
        </w:rPr>
        <w:t>the Five-Year Integrated Financial Plan – the f</w:t>
      </w:r>
      <w:r w:rsidR="00A734B4" w:rsidRPr="001E042D">
        <w:rPr>
          <w:rFonts w:ascii="Times New Roman" w:hAnsi="Times New Roman" w:cs="Times New Roman"/>
        </w:rPr>
        <w:t xml:space="preserve">irst iteration of </w:t>
      </w:r>
      <w:r w:rsidR="00A734B4">
        <w:rPr>
          <w:rFonts w:ascii="Times New Roman" w:hAnsi="Times New Roman" w:cs="Times New Roman"/>
        </w:rPr>
        <w:t>a long-term financial</w:t>
      </w:r>
      <w:r w:rsidR="00A734B4" w:rsidRPr="001E042D">
        <w:rPr>
          <w:rFonts w:ascii="Times New Roman" w:hAnsi="Times New Roman" w:cs="Times New Roman"/>
        </w:rPr>
        <w:t xml:space="preserve"> plan</w:t>
      </w:r>
      <w:r w:rsidR="00A734B4">
        <w:rPr>
          <w:rFonts w:ascii="Times New Roman" w:hAnsi="Times New Roman" w:cs="Times New Roman"/>
        </w:rPr>
        <w:t xml:space="preserve">. </w:t>
      </w:r>
    </w:p>
    <w:p w14:paraId="23E981AD" w14:textId="77777777" w:rsidR="00A734B4" w:rsidRDefault="00A734B4" w:rsidP="00A734B4">
      <w:pPr>
        <w:pStyle w:val="Default"/>
        <w:rPr>
          <w:rFonts w:ascii="Times New Roman" w:hAnsi="Times New Roman" w:cs="Times New Roman"/>
        </w:rPr>
      </w:pPr>
    </w:p>
    <w:p w14:paraId="50208304" w14:textId="77777777" w:rsidR="00A734B4" w:rsidRDefault="00A734B4" w:rsidP="00A734B4">
      <w:pPr>
        <w:pStyle w:val="Default"/>
        <w:rPr>
          <w:rFonts w:ascii="Times New Roman" w:eastAsia="Times New Roman" w:hAnsi="Times New Roman" w:cs="Times New Roman"/>
        </w:rPr>
      </w:pPr>
      <w:r w:rsidRPr="001E042D">
        <w:rPr>
          <w:rFonts w:ascii="Times New Roman" w:eastAsia="Times New Roman" w:hAnsi="Times New Roman" w:cs="Times New Roman"/>
        </w:rPr>
        <w:t xml:space="preserve">PBC receives and reviews recommendations that have been forwarded from the PBIM committees and makes final recommendations to the District Participatory Governance Council. Recommendations include educational and resource priorities, Board Policies and Administrative Procedures, and new initiatives. </w:t>
      </w:r>
      <w:r>
        <w:rPr>
          <w:rFonts w:ascii="Times New Roman" w:eastAsia="Times New Roman" w:hAnsi="Times New Roman" w:cs="Times New Roman"/>
        </w:rPr>
        <w:t xml:space="preserve"> PBC will continue to:</w:t>
      </w:r>
    </w:p>
    <w:p w14:paraId="0A4F2100" w14:textId="77777777" w:rsidR="00A734B4" w:rsidRDefault="00A734B4" w:rsidP="00A734B4">
      <w:pPr>
        <w:pStyle w:val="Default"/>
        <w:rPr>
          <w:rFonts w:ascii="Times New Roman" w:eastAsia="Times New Roman" w:hAnsi="Times New Roman" w:cs="Times New Roman"/>
        </w:rPr>
      </w:pPr>
    </w:p>
    <w:p w14:paraId="18B1A9BC" w14:textId="77777777" w:rsidR="00A734B4" w:rsidRPr="001E042D" w:rsidRDefault="00A734B4" w:rsidP="00A734B4">
      <w:pPr>
        <w:pStyle w:val="Default"/>
        <w:numPr>
          <w:ilvl w:val="0"/>
          <w:numId w:val="1"/>
        </w:numPr>
        <w:rPr>
          <w:rFonts w:ascii="Times New Roman" w:eastAsia="Times New Roman" w:hAnsi="Times New Roman" w:cs="Times New Roman"/>
        </w:rPr>
      </w:pPr>
      <w:r w:rsidRPr="001E042D">
        <w:rPr>
          <w:rFonts w:ascii="Times New Roman" w:eastAsia="Times New Roman" w:hAnsi="Times New Roman" w:cs="Times New Roman"/>
        </w:rPr>
        <w:t>Affirm consistency with strategic and educational plans;</w:t>
      </w:r>
    </w:p>
    <w:p w14:paraId="72C955A1" w14:textId="77777777" w:rsidR="00A734B4" w:rsidRPr="008C0955" w:rsidRDefault="00A734B4" w:rsidP="00A734B4">
      <w:pPr>
        <w:pStyle w:val="ListParagraph"/>
        <w:numPr>
          <w:ilvl w:val="0"/>
          <w:numId w:val="1"/>
        </w:numPr>
        <w:spacing w:after="0" w:line="240" w:lineRule="auto"/>
        <w:rPr>
          <w:rFonts w:ascii="Times New Roman" w:eastAsia="Times New Roman" w:hAnsi="Times New Roman" w:cs="Times New Roman"/>
          <w:sz w:val="24"/>
          <w:szCs w:val="24"/>
        </w:rPr>
      </w:pPr>
      <w:r w:rsidRPr="008C0955">
        <w:rPr>
          <w:rFonts w:ascii="Times New Roman" w:eastAsia="Times New Roman" w:hAnsi="Times New Roman" w:cs="Times New Roman"/>
          <w:sz w:val="24"/>
          <w:szCs w:val="24"/>
        </w:rPr>
        <w:t>Recommend a coordinated, district-wide planning approach;</w:t>
      </w:r>
    </w:p>
    <w:p w14:paraId="30E6F481" w14:textId="77777777" w:rsidR="00A734B4" w:rsidRPr="001E042D" w:rsidRDefault="00A734B4" w:rsidP="00A734B4">
      <w:pPr>
        <w:numPr>
          <w:ilvl w:val="0"/>
          <w:numId w:val="1"/>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Recommend a prioritization of plans across subject areas and the four Colleges;</w:t>
      </w:r>
    </w:p>
    <w:p w14:paraId="273ECBD0" w14:textId="77777777" w:rsidR="00A734B4" w:rsidRPr="001E042D" w:rsidRDefault="00A734B4" w:rsidP="00A734B4">
      <w:pPr>
        <w:numPr>
          <w:ilvl w:val="0"/>
          <w:numId w:val="1"/>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Identify funding approaches to support priorities;</w:t>
      </w:r>
    </w:p>
    <w:p w14:paraId="2F1DA0F6" w14:textId="77777777" w:rsidR="00A734B4" w:rsidRPr="001E042D" w:rsidRDefault="00A734B4" w:rsidP="00A734B4">
      <w:pPr>
        <w:numPr>
          <w:ilvl w:val="0"/>
          <w:numId w:val="1"/>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Provide oversight on the implementation of the Strategic Plan.</w:t>
      </w:r>
    </w:p>
    <w:p w14:paraId="1EB4D243" w14:textId="77777777" w:rsidR="00A734B4" w:rsidRPr="001E042D" w:rsidRDefault="00A734B4" w:rsidP="00A734B4">
      <w:pPr>
        <w:numPr>
          <w:ilvl w:val="0"/>
          <w:numId w:val="1"/>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Track recommendations and determine whether the recommendations are implemented including any modifications, or if the recommendations are not implemented, the reasons for not being implemented;</w:t>
      </w:r>
    </w:p>
    <w:p w14:paraId="19F32677" w14:textId="77777777" w:rsidR="00A734B4" w:rsidRPr="001E042D" w:rsidRDefault="00A734B4" w:rsidP="00A734B4">
      <w:pPr>
        <w:numPr>
          <w:ilvl w:val="0"/>
          <w:numId w:val="1"/>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Ensure accountability in district-wide planning by determining whether the agreed upon steps in the process were followed; and,</w:t>
      </w:r>
    </w:p>
    <w:p w14:paraId="201759B5" w14:textId="77777777" w:rsidR="00A734B4" w:rsidRDefault="00A734B4" w:rsidP="00A734B4">
      <w:pPr>
        <w:numPr>
          <w:ilvl w:val="0"/>
          <w:numId w:val="1"/>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Make recommendations to the District Participatory Governance Council and to the Chancellor for alternative uses of unrestricted revenue.</w:t>
      </w:r>
    </w:p>
    <w:p w14:paraId="2C206A1D" w14:textId="77777777" w:rsidR="00A734B4" w:rsidRDefault="00A734B4" w:rsidP="00581E7E">
      <w:pPr>
        <w:pStyle w:val="Default"/>
        <w:rPr>
          <w:rFonts w:ascii="Times New Roman" w:hAnsi="Times New Roman" w:cs="Times New Roman"/>
        </w:rPr>
      </w:pPr>
    </w:p>
    <w:p w14:paraId="3290DB85" w14:textId="77777777" w:rsidR="00581E7E" w:rsidRDefault="005A77D3" w:rsidP="00581E7E">
      <w:pPr>
        <w:spacing w:after="0" w:line="240" w:lineRule="auto"/>
        <w:rPr>
          <w:rFonts w:ascii="Times New Roman" w:eastAsia="Times New Roman" w:hAnsi="Times New Roman" w:cs="Times New Roman"/>
          <w:sz w:val="24"/>
          <w:szCs w:val="24"/>
        </w:rPr>
      </w:pPr>
      <w:hyperlink r:id="rId23" w:history="1">
        <w:r w:rsidR="00581E7E" w:rsidRPr="00482DDC">
          <w:rPr>
            <w:rStyle w:val="Hyperlink"/>
            <w:rFonts w:ascii="Times New Roman" w:eastAsia="Times New Roman" w:hAnsi="Times New Roman" w:cs="Times New Roman"/>
            <w:b/>
            <w:sz w:val="24"/>
            <w:szCs w:val="24"/>
          </w:rPr>
          <w:t xml:space="preserve">District Academic Affairs and Student Services Committee (DAASSC). </w:t>
        </w:r>
      </w:hyperlink>
      <w:r w:rsidR="00581E7E" w:rsidRPr="00482DDC">
        <w:rPr>
          <w:rFonts w:ascii="Times New Roman" w:eastAsia="Times New Roman" w:hAnsi="Times New Roman" w:cs="Times New Roman"/>
          <w:b/>
          <w:sz w:val="24"/>
          <w:szCs w:val="24"/>
        </w:rPr>
        <w:t xml:space="preserve"> </w:t>
      </w:r>
      <w:r w:rsidR="00581E7E" w:rsidRPr="00363578">
        <w:rPr>
          <w:rFonts w:ascii="Times New Roman" w:eastAsia="Times New Roman" w:hAnsi="Times New Roman" w:cs="Times New Roman"/>
          <w:sz w:val="24"/>
          <w:szCs w:val="24"/>
        </w:rPr>
        <w:t>The DAASSC serves to coordinate district-wide instructional goals and student support services to promote student success, sustain academic quality, and to continuously evaluate and make improvements. This committee ensures the broad dissemination of information to constituent groups. DAASSC makes recommendations to the Planning and Budgeting Council (PBC) to:</w:t>
      </w:r>
    </w:p>
    <w:p w14:paraId="7A425A00" w14:textId="77777777" w:rsidR="00581E7E" w:rsidRPr="00363578" w:rsidRDefault="00581E7E" w:rsidP="00581E7E">
      <w:pPr>
        <w:spacing w:after="0" w:line="240" w:lineRule="auto"/>
        <w:rPr>
          <w:rFonts w:ascii="Times New Roman" w:eastAsia="Times New Roman" w:hAnsi="Times New Roman" w:cs="Times New Roman"/>
          <w:sz w:val="24"/>
          <w:szCs w:val="24"/>
        </w:rPr>
      </w:pPr>
    </w:p>
    <w:p w14:paraId="5E83A64A" w14:textId="77777777" w:rsidR="00581E7E" w:rsidRPr="00363578" w:rsidRDefault="00581E7E" w:rsidP="00581E7E">
      <w:pPr>
        <w:numPr>
          <w:ilvl w:val="0"/>
          <w:numId w:val="3"/>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Review issues and make recommendations pertaining to academic affairs and student services across the four Colleges.</w:t>
      </w:r>
    </w:p>
    <w:p w14:paraId="7B8F3B1F" w14:textId="77777777" w:rsidR="00581E7E" w:rsidRPr="00363578" w:rsidRDefault="00581E7E" w:rsidP="00581E7E">
      <w:pPr>
        <w:numPr>
          <w:ilvl w:val="0"/>
          <w:numId w:val="3"/>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Seek collaborative solutions that use resources across the Colleges and District Service Centers;</w:t>
      </w:r>
    </w:p>
    <w:p w14:paraId="40DC1716" w14:textId="77777777" w:rsidR="00581E7E" w:rsidRPr="00363578" w:rsidRDefault="00581E7E" w:rsidP="00581E7E">
      <w:pPr>
        <w:numPr>
          <w:ilvl w:val="0"/>
          <w:numId w:val="3"/>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Ensure consistency among College requests;</w:t>
      </w:r>
    </w:p>
    <w:p w14:paraId="566E8686" w14:textId="77777777" w:rsidR="00581E7E" w:rsidRPr="00363578" w:rsidRDefault="00581E7E" w:rsidP="00581E7E">
      <w:pPr>
        <w:numPr>
          <w:ilvl w:val="0"/>
          <w:numId w:val="3"/>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Coordinate and monitor the effectiveness of academic affairs and student services policies and procedures;</w:t>
      </w:r>
    </w:p>
    <w:p w14:paraId="692BB338" w14:textId="77777777" w:rsidR="00581E7E" w:rsidRPr="00363578" w:rsidRDefault="00581E7E" w:rsidP="00581E7E">
      <w:pPr>
        <w:numPr>
          <w:ilvl w:val="0"/>
          <w:numId w:val="3"/>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Stay current on legislative and regulatory proposals and new funding streams that may impact College and district-wide programs;</w:t>
      </w:r>
    </w:p>
    <w:p w14:paraId="4C8764CD" w14:textId="77777777" w:rsidR="00581E7E" w:rsidRPr="00363578" w:rsidRDefault="00581E7E" w:rsidP="00581E7E">
      <w:pPr>
        <w:numPr>
          <w:ilvl w:val="0"/>
          <w:numId w:val="3"/>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Use a systems approach to ensure optimal capacity and to avoid redundancy of effort; and,</w:t>
      </w:r>
    </w:p>
    <w:p w14:paraId="1B411FA3" w14:textId="52BAA872" w:rsidR="008E28C7" w:rsidRDefault="00581E7E" w:rsidP="00A734B4">
      <w:pPr>
        <w:numPr>
          <w:ilvl w:val="0"/>
          <w:numId w:val="3"/>
        </w:numPr>
        <w:spacing w:after="0" w:line="240" w:lineRule="auto"/>
        <w:ind w:left="648"/>
      </w:pPr>
      <w:r w:rsidRPr="00A734B4">
        <w:rPr>
          <w:rFonts w:ascii="Times New Roman" w:eastAsia="Times New Roman" w:hAnsi="Times New Roman" w:cs="Times New Roman"/>
          <w:sz w:val="24"/>
          <w:szCs w:val="24"/>
        </w:rPr>
        <w:lastRenderedPageBreak/>
        <w:t>Help to establish new services, as needed, among the Colleges pertaining to instruction and student services.</w:t>
      </w:r>
    </w:p>
    <w:sectPr w:rsidR="008E28C7" w:rsidSect="00581E7E">
      <w:footerReference w:type="default" r:id="rId24"/>
      <w:pgSz w:w="12240" w:h="15840"/>
      <w:pgMar w:top="6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E082" w14:textId="77777777" w:rsidR="00406DFF" w:rsidRDefault="00406DFF" w:rsidP="00F23097">
      <w:pPr>
        <w:spacing w:after="0" w:line="240" w:lineRule="auto"/>
      </w:pPr>
      <w:r>
        <w:separator/>
      </w:r>
    </w:p>
  </w:endnote>
  <w:endnote w:type="continuationSeparator" w:id="0">
    <w:p w14:paraId="4CA9FDBD" w14:textId="77777777" w:rsidR="00406DFF" w:rsidRDefault="00406DFF" w:rsidP="00F2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688403"/>
      <w:docPartObj>
        <w:docPartGallery w:val="Page Numbers (Bottom of Page)"/>
        <w:docPartUnique/>
      </w:docPartObj>
    </w:sdtPr>
    <w:sdtEndPr>
      <w:rPr>
        <w:noProof/>
      </w:rPr>
    </w:sdtEndPr>
    <w:sdtContent>
      <w:p w14:paraId="561F4EE2" w14:textId="5FA29F6F" w:rsidR="000930C3" w:rsidRDefault="000930C3">
        <w:pPr>
          <w:pStyle w:val="Footer"/>
          <w:jc w:val="right"/>
        </w:pPr>
        <w:r>
          <w:fldChar w:fldCharType="begin"/>
        </w:r>
        <w:r>
          <w:instrText xml:space="preserve"> PAGE   \* MERGEFORMAT </w:instrText>
        </w:r>
        <w:r>
          <w:fldChar w:fldCharType="separate"/>
        </w:r>
        <w:r w:rsidR="00940A41">
          <w:rPr>
            <w:noProof/>
          </w:rPr>
          <w:t>3</w:t>
        </w:r>
        <w:r>
          <w:rPr>
            <w:noProof/>
          </w:rPr>
          <w:fldChar w:fldCharType="end"/>
        </w:r>
      </w:p>
    </w:sdtContent>
  </w:sdt>
  <w:p w14:paraId="5F258200" w14:textId="77777777" w:rsidR="00F23097" w:rsidRDefault="00F2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BFBD" w14:textId="77777777" w:rsidR="00406DFF" w:rsidRDefault="00406DFF" w:rsidP="00F23097">
      <w:pPr>
        <w:spacing w:after="0" w:line="240" w:lineRule="auto"/>
      </w:pPr>
      <w:r>
        <w:separator/>
      </w:r>
    </w:p>
  </w:footnote>
  <w:footnote w:type="continuationSeparator" w:id="0">
    <w:p w14:paraId="5D7BE178" w14:textId="77777777" w:rsidR="00406DFF" w:rsidRDefault="00406DFF" w:rsidP="00F23097">
      <w:pPr>
        <w:spacing w:after="0" w:line="240" w:lineRule="auto"/>
      </w:pPr>
      <w:r>
        <w:continuationSeparator/>
      </w:r>
    </w:p>
  </w:footnote>
  <w:footnote w:id="1">
    <w:p w14:paraId="5C3F96D8" w14:textId="1670B5D3" w:rsidR="00E40436" w:rsidRDefault="00E40436">
      <w:pPr>
        <w:pStyle w:val="FootnoteText"/>
      </w:pPr>
      <w:r>
        <w:rPr>
          <w:rStyle w:val="FootnoteReference"/>
        </w:rPr>
        <w:footnoteRef/>
      </w:r>
      <w:r>
        <w:t xml:space="preserve"> Including resident, non-resident, credit, and non-credit FTES.</w:t>
      </w:r>
    </w:p>
  </w:footnote>
  <w:footnote w:id="2">
    <w:p w14:paraId="3554AB65" w14:textId="77777777" w:rsidR="00516F61" w:rsidRPr="00F018AF" w:rsidRDefault="00516F61" w:rsidP="00516F61">
      <w:pPr>
        <w:spacing w:after="0" w:line="240" w:lineRule="auto"/>
        <w:rPr>
          <w:rFonts w:ascii="Times New Roman" w:hAnsi="Times New Roman" w:cs="Times New Roman"/>
          <w:sz w:val="20"/>
          <w:szCs w:val="20"/>
        </w:rPr>
      </w:pPr>
      <w:r>
        <w:rPr>
          <w:rStyle w:val="FootnoteReference"/>
        </w:rPr>
        <w:footnoteRef/>
      </w:r>
      <w:r>
        <w:t xml:space="preserve"> </w:t>
      </w:r>
      <w:r w:rsidRPr="00F018AF">
        <w:rPr>
          <w:rFonts w:ascii="Times New Roman" w:eastAsia="Times New Roman" w:hAnsi="Times New Roman" w:cs="Times New Roman"/>
          <w:sz w:val="20"/>
          <w:szCs w:val="20"/>
        </w:rPr>
        <w:t xml:space="preserve">Although a great local economy may offer PCCD students plenty of opportunities for employment, as well as upward mobility, national data has shown that there is a reverse relationship between economy and community college enrollment, indicated by  </w:t>
      </w:r>
      <w:hyperlink r:id="rId1" w:history="1">
        <w:r w:rsidRPr="00F018AF">
          <w:rPr>
            <w:rFonts w:ascii="Times New Roman" w:eastAsia="Times New Roman" w:hAnsi="Times New Roman" w:cs="Times New Roman"/>
            <w:color w:val="0000FF"/>
            <w:sz w:val="20"/>
            <w:szCs w:val="20"/>
            <w:u w:val="single"/>
          </w:rPr>
          <w:t>Community College Review</w:t>
        </w:r>
      </w:hyperlink>
      <w:r w:rsidRPr="00F018AF">
        <w:rPr>
          <w:rFonts w:ascii="Times New Roman" w:eastAsia="Times New Roman" w:hAnsi="Times New Roman" w:cs="Times New Roman"/>
          <w:sz w:val="20"/>
          <w:szCs w:val="20"/>
        </w:rPr>
        <w:t xml:space="preserve">, January 2019; </w:t>
      </w:r>
      <w:hyperlink r:id="rId2" w:anchor="&amp;ui-state=dialog" w:history="1">
        <w:r w:rsidRPr="00F018AF">
          <w:rPr>
            <w:rFonts w:ascii="Times New Roman" w:eastAsia="Times New Roman" w:hAnsi="Times New Roman" w:cs="Times New Roman"/>
            <w:color w:val="0000FF"/>
            <w:sz w:val="20"/>
            <w:szCs w:val="20"/>
            <w:u w:val="single"/>
          </w:rPr>
          <w:t>Inside Higher Ed</w:t>
        </w:r>
      </w:hyperlink>
      <w:r w:rsidRPr="00F018AF">
        <w:rPr>
          <w:rFonts w:ascii="Times New Roman" w:eastAsia="Times New Roman" w:hAnsi="Times New Roman" w:cs="Times New Roman"/>
          <w:sz w:val="20"/>
          <w:szCs w:val="20"/>
        </w:rPr>
        <w:t xml:space="preserve">, June 2018; </w:t>
      </w:r>
      <w:hyperlink r:id="rId3" w:history="1">
        <w:r w:rsidRPr="00F018AF">
          <w:rPr>
            <w:rFonts w:ascii="Times New Roman" w:eastAsia="Times New Roman" w:hAnsi="Times New Roman" w:cs="Times New Roman"/>
            <w:color w:val="0000FF"/>
            <w:sz w:val="20"/>
            <w:szCs w:val="20"/>
            <w:u w:val="single"/>
          </w:rPr>
          <w:t>United States Census</w:t>
        </w:r>
      </w:hyperlink>
      <w:r w:rsidRPr="00F018AF">
        <w:rPr>
          <w:rFonts w:ascii="Times New Roman" w:eastAsia="Times New Roman" w:hAnsi="Times New Roman" w:cs="Times New Roman"/>
          <w:sz w:val="20"/>
          <w:szCs w:val="20"/>
        </w:rPr>
        <w:t xml:space="preserve">, June 2018, </w:t>
      </w:r>
      <w:hyperlink r:id="rId4" w:history="1">
        <w:r w:rsidRPr="00F018AF">
          <w:rPr>
            <w:rFonts w:ascii="Times New Roman" w:eastAsia="Times New Roman" w:hAnsi="Times New Roman" w:cs="Times New Roman"/>
            <w:color w:val="0000FF"/>
            <w:sz w:val="20"/>
            <w:szCs w:val="20"/>
            <w:u w:val="single"/>
          </w:rPr>
          <w:t>EvoLLLurtion</w:t>
        </w:r>
      </w:hyperlink>
      <w:r w:rsidRPr="00F018AF">
        <w:rPr>
          <w:rFonts w:ascii="Times New Roman" w:eastAsia="Times New Roman" w:hAnsi="Times New Roman" w:cs="Times New Roman"/>
          <w:sz w:val="20"/>
          <w:szCs w:val="20"/>
        </w:rPr>
        <w:t>, February 2019; along with many other sources of information. A</w:t>
      </w:r>
      <w:hyperlink r:id="rId5" w:tgtFrame="_blank" w:history="1">
        <w:r w:rsidRPr="00F018AF">
          <w:rPr>
            <w:rFonts w:ascii="Times New Roman" w:eastAsia="Times New Roman" w:hAnsi="Times New Roman" w:cs="Times New Roman"/>
            <w:color w:val="0000FF"/>
            <w:sz w:val="20"/>
            <w:szCs w:val="20"/>
            <w:u w:val="single"/>
          </w:rPr>
          <w:t xml:space="preserve"> 2015 article in Insider Higher Ed</w:t>
        </w:r>
      </w:hyperlink>
      <w:r w:rsidRPr="00F018AF">
        <w:rPr>
          <w:rFonts w:ascii="Times New Roman" w:eastAsia="Times New Roman" w:hAnsi="Times New Roman" w:cs="Times New Roman"/>
          <w:sz w:val="20"/>
          <w:szCs w:val="20"/>
        </w:rPr>
        <w:t xml:space="preserve"> took one step further indicating that as a general rule of thumb, community college enrollment tends to decline by about 2.5 percent for every 1 percent drop in the unemployment rate.  </w:t>
      </w:r>
      <w:r w:rsidRPr="00F018AF">
        <w:rPr>
          <w:rFonts w:ascii="Times New Roman" w:hAnsi="Times New Roman" w:cs="Times New Roman"/>
          <w:sz w:val="20"/>
          <w:szCs w:val="20"/>
        </w:rPr>
        <w:t xml:space="preserve">It is primarily due to the fact that those adult learners aged 25 or older would leave college and go back to the work force when economy is blooming and jobs are available, whereas they go back to school when employment opportunities disappearing.  This statement may be supported by the age representation shift of PCCD students.  PCCD student age data indicate that adult students (age 25 or older) represented 51% of the total PCCD student body back in 2009/10 – PCCD’s enrollment peak; that year was also the tail end of the housing bobble when jobs were scarce.  However, in 2017/18 when the job market was thriving, the district student body only comprised of 44% of adult students.  This means, in between these two years, PCCD only lost 2,194 or 7.2% students aged 24 or younger, but 9,680 or 30.2% adult students. </w:t>
      </w:r>
    </w:p>
    <w:p w14:paraId="4EB3A2E4" w14:textId="40EC6FF6" w:rsidR="00516F61" w:rsidRDefault="00516F61">
      <w:pPr>
        <w:pStyle w:val="FootnoteText"/>
      </w:pPr>
    </w:p>
  </w:footnote>
  <w:footnote w:id="3">
    <w:p w14:paraId="124A938C" w14:textId="5908D634" w:rsidR="002353C5" w:rsidRPr="002353C5" w:rsidRDefault="002353C5">
      <w:pPr>
        <w:pStyle w:val="FootnoteText"/>
        <w:rPr>
          <w:rFonts w:ascii="Times New Roman" w:hAnsi="Times New Roman" w:cs="Times New Roman"/>
        </w:rPr>
      </w:pPr>
      <w:r>
        <w:rPr>
          <w:rStyle w:val="FootnoteReference"/>
        </w:rPr>
        <w:footnoteRef/>
      </w:r>
      <w:r>
        <w:t xml:space="preserve"> </w:t>
      </w:r>
      <w:r w:rsidRPr="002353C5">
        <w:rPr>
          <w:rFonts w:ascii="Times New Roman" w:hAnsi="Times New Roman" w:cs="Times New Roman"/>
        </w:rPr>
        <w:t>Include resident and non-resident credit FTES.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615F6"/>
    <w:multiLevelType w:val="hybridMultilevel"/>
    <w:tmpl w:val="8BD6F2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15:restartNumberingAfterBreak="0">
    <w:nsid w:val="3B031DC0"/>
    <w:multiLevelType w:val="hybridMultilevel"/>
    <w:tmpl w:val="E3DAAA80"/>
    <w:lvl w:ilvl="0" w:tplc="BB36BE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9B6598"/>
    <w:multiLevelType w:val="multilevel"/>
    <w:tmpl w:val="6C1E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514B6"/>
    <w:multiLevelType w:val="hybridMultilevel"/>
    <w:tmpl w:val="8982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F06BDE"/>
    <w:multiLevelType w:val="hybridMultilevel"/>
    <w:tmpl w:val="F896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D1E26"/>
    <w:multiLevelType w:val="multilevel"/>
    <w:tmpl w:val="0786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7E"/>
    <w:rsid w:val="000930C3"/>
    <w:rsid w:val="00191E88"/>
    <w:rsid w:val="002353C5"/>
    <w:rsid w:val="002521FE"/>
    <w:rsid w:val="002A7EE7"/>
    <w:rsid w:val="003B5B82"/>
    <w:rsid w:val="00406DFF"/>
    <w:rsid w:val="00461957"/>
    <w:rsid w:val="00516F61"/>
    <w:rsid w:val="00581E7E"/>
    <w:rsid w:val="005A6DE2"/>
    <w:rsid w:val="008163CC"/>
    <w:rsid w:val="00823BD0"/>
    <w:rsid w:val="008D52BC"/>
    <w:rsid w:val="008E28C7"/>
    <w:rsid w:val="00940A41"/>
    <w:rsid w:val="00955F80"/>
    <w:rsid w:val="00990D58"/>
    <w:rsid w:val="00A42249"/>
    <w:rsid w:val="00A57C17"/>
    <w:rsid w:val="00A734B4"/>
    <w:rsid w:val="00C01AA3"/>
    <w:rsid w:val="00D137FE"/>
    <w:rsid w:val="00D1785A"/>
    <w:rsid w:val="00D64266"/>
    <w:rsid w:val="00E40436"/>
    <w:rsid w:val="00EF6FD2"/>
    <w:rsid w:val="00F1026A"/>
    <w:rsid w:val="00F2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C7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7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7E"/>
    <w:pPr>
      <w:ind w:left="720"/>
      <w:contextualSpacing/>
    </w:pPr>
  </w:style>
  <w:style w:type="paragraph" w:customStyle="1" w:styleId="Default">
    <w:name w:val="Default"/>
    <w:rsid w:val="00581E7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81E7E"/>
    <w:rPr>
      <w:color w:val="0563C1" w:themeColor="hyperlink"/>
      <w:u w:val="single"/>
    </w:rPr>
  </w:style>
  <w:style w:type="paragraph" w:customStyle="1" w:styleId="p1">
    <w:name w:val="p1"/>
    <w:basedOn w:val="Normal"/>
    <w:rsid w:val="00581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581E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97"/>
    <w:rPr>
      <w:sz w:val="22"/>
      <w:szCs w:val="22"/>
    </w:rPr>
  </w:style>
  <w:style w:type="paragraph" w:styleId="Footer">
    <w:name w:val="footer"/>
    <w:basedOn w:val="Normal"/>
    <w:link w:val="FooterChar"/>
    <w:uiPriority w:val="99"/>
    <w:unhideWhenUsed/>
    <w:rsid w:val="00F2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97"/>
    <w:rPr>
      <w:sz w:val="22"/>
      <w:szCs w:val="22"/>
    </w:rPr>
  </w:style>
  <w:style w:type="paragraph" w:styleId="BalloonText">
    <w:name w:val="Balloon Text"/>
    <w:basedOn w:val="Normal"/>
    <w:link w:val="BalloonTextChar"/>
    <w:uiPriority w:val="99"/>
    <w:semiHidden/>
    <w:unhideWhenUsed/>
    <w:rsid w:val="0009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C3"/>
    <w:rPr>
      <w:rFonts w:ascii="Segoe UI" w:hAnsi="Segoe UI" w:cs="Segoe UI"/>
      <w:sz w:val="18"/>
      <w:szCs w:val="18"/>
    </w:rPr>
  </w:style>
  <w:style w:type="paragraph" w:styleId="FootnoteText">
    <w:name w:val="footnote text"/>
    <w:basedOn w:val="Normal"/>
    <w:link w:val="FootnoteTextChar"/>
    <w:uiPriority w:val="99"/>
    <w:semiHidden/>
    <w:unhideWhenUsed/>
    <w:rsid w:val="00E4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436"/>
    <w:rPr>
      <w:sz w:val="20"/>
      <w:szCs w:val="20"/>
    </w:rPr>
  </w:style>
  <w:style w:type="character" w:styleId="FootnoteReference">
    <w:name w:val="footnote reference"/>
    <w:basedOn w:val="DefaultParagraphFont"/>
    <w:uiPriority w:val="99"/>
    <w:semiHidden/>
    <w:unhideWhenUsed/>
    <w:rsid w:val="00E40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trustees/files/2011/06/Area-Map-and-Descriptions.pdf" TargetMode="External"/><Relationship Id="rId13" Type="http://schemas.openxmlformats.org/officeDocument/2006/relationships/hyperlink" Target="https://www.businessinsider.com/san-francisco-area-best-us-economy-2018-4"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peralta.edu/pbi/participatory-governance-council/" TargetMode="External"/><Relationship Id="rId7" Type="http://schemas.openxmlformats.org/officeDocument/2006/relationships/endnotes" Target="endnotes.xml"/><Relationship Id="rId12" Type="http://schemas.openxmlformats.org/officeDocument/2006/relationships/hyperlink" Target="http://www.bayareaeconomy.org/" TargetMode="External"/><Relationship Id="rId17" Type="http://schemas.openxmlformats.org/officeDocument/2006/relationships/image" Target="media/image2.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oomberg.com/news/articles/2018-05-01/as-u-s-expansion-hits-endurance-milestone-here-s-what-s-next" TargetMode="External"/><Relationship Id="rId20" Type="http://schemas.openxmlformats.org/officeDocument/2006/relationships/hyperlink" Target="http://web.peralta.edu/p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ithaka.org/blog/the-student-swirl-becoming-more-of-a-norm-in-higher-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bcbayarea.com/news/local/Bay-Area-Economy-is-Now-19th-Largest-in-the-World-487828891.html" TargetMode="External"/><Relationship Id="rId23" Type="http://schemas.openxmlformats.org/officeDocument/2006/relationships/hyperlink" Target="http://web.peralta.edu/pbi/district-academic-affairs-and-student-services-committee/" TargetMode="External"/><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Financial%20Planning\San%20Francisco%20Area%20Economic%20Summary&#8226;Over-the-year%20changes%20in%20employment%20on%20nonfarm%20payrollsand%20employment%20by%20major%20industry%20sector%20%20%20%20%20%20%20%20%20%20%20%20%20%20%20%20%20%20%20%20%20%20%20%20%20%20%20%20%20%20%20%20%20%20%20%20%20%20%20%20Source:%20U.S.%20BLS,%20Current%20Employment%20Statistics.Average%20weekly%20wagesfor%20all%20industries%20by%20countyUnemployment%20ratesfor%20the%20San%20Francisco%20area,%20selected%20area%20counties,%20and%20the%20nation0.00.51.01.52.02.53.03.54.04.5Dec-15Dec-16Dec-17Dec-18PercentSan%20Francisco%20areaUnited%20StatesSource:%20U.S.BLS,%20Current%20Employment%20Statistics.12-month%20percent%20changes%20in%20employmentThis%20summarypresents%20a%20sampling%20of%20economic%20informationfor%20the%20area;supplemental%20data%20are%20provided%20for%20regions%20and%20the%20nation.%20Subjects%20include%20unemployment,%20employment,%20%20wages,%20%20prices,%20%20spending,and%20benefits.All%20data%20arenot%20seasonally%20adjusted%20and%20some%20may%20be%20subject%20to%20revision.%20Area%20definitions%20may%20differ%20by%20subject.%20For%20more%20area%20summaries%20and%20geographic%20definitions,%20see%20www.bls.gov\regions\economic-summaries.htm.2.0%202.2%203.0%202.8%202.5%203.7%202." TargetMode="External"/><Relationship Id="rId22" Type="http://schemas.openxmlformats.org/officeDocument/2006/relationships/hyperlink" Target="http://web.peralta.edu/pbi/planning-and-budget-committe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library/stories/2018/06/going-back-to-college.html" TargetMode="External"/><Relationship Id="rId2" Type="http://schemas.openxmlformats.org/officeDocument/2006/relationships/hyperlink" Target="https://portal-cneqsise01.guestwireless.kp.org:8443/portal/AupSubmit.action?from=AUP" TargetMode="External"/><Relationship Id="rId1" Type="http://schemas.openxmlformats.org/officeDocument/2006/relationships/hyperlink" Target="https://www.communitycollegereview.com/blog/why-student-enrollment-rises-as-the-economy-falls" TargetMode="External"/><Relationship Id="rId5" Type="http://schemas.openxmlformats.org/officeDocument/2006/relationships/hyperlink" Target="https://www.insidehighered.com/views/2015/08/27/unemployment-rate-community-college-enrollments-and-tough-choices-essay" TargetMode="External"/><Relationship Id="rId4" Type="http://schemas.openxmlformats.org/officeDocument/2006/relationships/hyperlink" Target="https://evolllution.com/revenue-streams/opportunities_challenges/economic-and-demographic-challenges-facing-community-and-technical-colleg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chen\AppData\Local\Temp\FTESSumm.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[FTESSumm.xls]Sheet!$B$4:$K$4</c:f>
              <c:strCache>
                <c:ptCount val="10"/>
                <c:pt idx="0">
                  <c:v>AY08/09</c:v>
                </c:pt>
                <c:pt idx="1">
                  <c:v>AY09/10</c:v>
                </c:pt>
                <c:pt idx="2">
                  <c:v>AY10/11</c:v>
                </c:pt>
                <c:pt idx="3">
                  <c:v>AY11/12</c:v>
                </c:pt>
                <c:pt idx="4">
                  <c:v>AY12/13</c:v>
                </c:pt>
                <c:pt idx="5">
                  <c:v>AY13/14</c:v>
                </c:pt>
                <c:pt idx="6">
                  <c:v>AY14/15</c:v>
                </c:pt>
                <c:pt idx="7">
                  <c:v>AY15/16</c:v>
                </c:pt>
                <c:pt idx="8">
                  <c:v>AY16/17</c:v>
                </c:pt>
                <c:pt idx="9">
                  <c:v>AY17/18</c:v>
                </c:pt>
              </c:strCache>
            </c:strRef>
          </c:cat>
          <c:val>
            <c:numRef>
              <c:f>[FTESSumm.xls]Sheet!$B$5:$K$5</c:f>
              <c:numCache>
                <c:formatCode>#,##0.00</c:formatCode>
                <c:ptCount val="10"/>
                <c:pt idx="0">
                  <c:v>22341.768952380949</c:v>
                </c:pt>
                <c:pt idx="1">
                  <c:v>24251.562476190476</c:v>
                </c:pt>
                <c:pt idx="2">
                  <c:v>22364.982476190478</c:v>
                </c:pt>
                <c:pt idx="3">
                  <c:v>21059.924190476162</c:v>
                </c:pt>
                <c:pt idx="4">
                  <c:v>20141.368761904771</c:v>
                </c:pt>
                <c:pt idx="5">
                  <c:v>20343.773714285711</c:v>
                </c:pt>
                <c:pt idx="6">
                  <c:v>20840.154095238096</c:v>
                </c:pt>
                <c:pt idx="7">
                  <c:v>21581.823619047624</c:v>
                </c:pt>
                <c:pt idx="8">
                  <c:v>20382.246095238108</c:v>
                </c:pt>
                <c:pt idx="9">
                  <c:v>20306.755047619041</c:v>
                </c:pt>
              </c:numCache>
            </c:numRef>
          </c:val>
          <c:smooth val="0"/>
          <c:extLst>
            <c:ext xmlns:c16="http://schemas.microsoft.com/office/drawing/2014/chart" uri="{C3380CC4-5D6E-409C-BE32-E72D297353CC}">
              <c16:uniqueId val="{00000000-736E-4842-9273-22BD00A4DC21}"/>
            </c:ext>
          </c:extLst>
        </c:ser>
        <c:dLbls>
          <c:showLegendKey val="0"/>
          <c:showVal val="0"/>
          <c:showCatName val="0"/>
          <c:showSerName val="0"/>
          <c:showPercent val="0"/>
          <c:showBubbleSize val="0"/>
        </c:dLbls>
        <c:smooth val="0"/>
        <c:axId val="330288792"/>
        <c:axId val="330285184"/>
      </c:lineChart>
      <c:catAx>
        <c:axId val="33028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285184"/>
        <c:crosses val="autoZero"/>
        <c:auto val="1"/>
        <c:lblAlgn val="ctr"/>
        <c:lblOffset val="100"/>
        <c:noMultiLvlLbl val="0"/>
      </c:catAx>
      <c:valAx>
        <c:axId val="330285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288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6284-BA78-434A-AB01-A9F86DEB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 Chen</cp:lastModifiedBy>
  <cp:revision>2</cp:revision>
  <cp:lastPrinted>2019-03-07T21:18:00Z</cp:lastPrinted>
  <dcterms:created xsi:type="dcterms:W3CDTF">2019-03-08T04:55:00Z</dcterms:created>
  <dcterms:modified xsi:type="dcterms:W3CDTF">2019-03-08T04:55:00Z</dcterms:modified>
</cp:coreProperties>
</file>