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sz w:val="36"/>
          <w:szCs w:val="36"/>
        </w:rPr>
        <w:t xml:space="preserve">Associated Students of Laney College </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8000"/>
          <w:sz w:val="20"/>
          <w:szCs w:val="20"/>
        </w:rPr>
        <w:t>FRIDAY, JULY 28, 2017</w:t>
      </w:r>
      <w:r>
        <w:rPr>
          <w:color w:val="000000"/>
        </w:rPr>
        <w:t> </w:t>
      </w:r>
      <w:r>
        <w:rPr>
          <w:b/>
          <w:bCs/>
          <w:color w:val="008000"/>
          <w:sz w:val="20"/>
          <w:szCs w:val="20"/>
        </w:rPr>
        <w:t>12:00 PM</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rFonts w:ascii="Calibri" w:hAnsi="Calibri" w:cs="Arial"/>
          <w:color w:val="008000"/>
          <w:sz w:val="28"/>
          <w:szCs w:val="28"/>
        </w:rPr>
        <w:t>SPECIAL MEETING AGENDA</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8000"/>
          <w:sz w:val="20"/>
          <w:szCs w:val="20"/>
        </w:rPr>
        <w:t>Meeting Location:</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8000"/>
          <w:sz w:val="20"/>
          <w:szCs w:val="20"/>
        </w:rPr>
        <w:t>Student Center Building</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8000"/>
          <w:sz w:val="20"/>
          <w:szCs w:val="20"/>
        </w:rPr>
        <w:t>4</w:t>
      </w:r>
      <w:r>
        <w:rPr>
          <w:b/>
          <w:bCs/>
          <w:color w:val="008000"/>
          <w:sz w:val="12"/>
          <w:szCs w:val="12"/>
          <w:vertAlign w:val="superscript"/>
        </w:rPr>
        <w:t>th</w:t>
      </w:r>
      <w:r>
        <w:rPr>
          <w:b/>
          <w:bCs/>
          <w:color w:val="008000"/>
          <w:sz w:val="20"/>
          <w:szCs w:val="20"/>
        </w:rPr>
        <w:t> Floor, Room SC401A</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8000"/>
          <w:sz w:val="20"/>
          <w:szCs w:val="20"/>
        </w:rPr>
        <w:t>Laney College</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8000"/>
          <w:sz w:val="20"/>
          <w:szCs w:val="20"/>
        </w:rPr>
        <w:t>900 Fallon St.</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8000"/>
          <w:sz w:val="20"/>
          <w:szCs w:val="20"/>
        </w:rPr>
        <w:t>Oakland, CA 94607-4893</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8000"/>
        </w:rPr>
        <w:t>Conference Call Number: 1-(515)-604-9939</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8000"/>
        </w:rPr>
        <w:t>Access Code: 733622</w:t>
      </w:r>
    </w:p>
    <w:p w:rsidR="000024D8" w:rsidRDefault="000024D8" w:rsidP="000024D8">
      <w:pPr>
        <w:pStyle w:val="NormalWeb"/>
        <w:shd w:val="clear" w:color="auto" w:fill="FFFFFF"/>
        <w:spacing w:before="0" w:beforeAutospacing="0" w:after="0" w:afterAutospacing="0"/>
        <w:rPr>
          <w:rFonts w:ascii="Calibri" w:hAnsi="Calibri" w:cs="Arial"/>
          <w:color w:val="000000"/>
          <w:sz w:val="22"/>
          <w:szCs w:val="22"/>
        </w:rPr>
      </w:pPr>
      <w:r>
        <w:rPr>
          <w:color w:val="FF0000"/>
          <w:sz w:val="20"/>
          <w:szCs w:val="20"/>
        </w:rPr>
        <w:t>Members of the public may address the Council on</w:t>
      </w:r>
      <w:r>
        <w:rPr>
          <w:color w:val="000000"/>
          <w:sz w:val="20"/>
          <w:szCs w:val="20"/>
        </w:rPr>
        <w:t xml:space="preserve"> any item within the Council’s jurisdiction. </w:t>
      </w:r>
      <w:r>
        <w:rPr>
          <w:color w:val="008000"/>
          <w:sz w:val="20"/>
          <w:szCs w:val="20"/>
        </w:rPr>
        <w:t>Members of the public must be recognized by the presiding officer to address the Council</w:t>
      </w:r>
      <w:r>
        <w:rPr>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b/>
          <w:bCs/>
          <w:color w:val="000000"/>
          <w:sz w:val="20"/>
          <w:szCs w:val="20"/>
        </w:rPr>
        <w:t>Laney does not discriminate on the basis of age, race, color, sex or sexual orientation, marital or veteran status, national origin, or disability</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rPr>
        <w:t xml:space="preserve">ROLL CALL: </w:t>
      </w:r>
    </w:p>
    <w:tbl>
      <w:tblPr>
        <w:tblW w:w="0" w:type="auto"/>
        <w:tblLook w:val="04A0" w:firstRow="1" w:lastRow="0" w:firstColumn="1" w:lastColumn="0" w:noHBand="0" w:noVBand="1"/>
      </w:tblPr>
      <w:tblGrid>
        <w:gridCol w:w="2624"/>
        <w:gridCol w:w="2640"/>
        <w:gridCol w:w="720"/>
      </w:tblGrid>
      <w:tr w:rsidR="000024D8" w:rsidTr="000024D8">
        <w:trPr>
          <w:trHeight w:val="200"/>
        </w:trPr>
        <w:tc>
          <w:tcPr>
            <w:tcW w:w="2624" w:type="dxa"/>
            <w:tcBorders>
              <w:top w:val="single" w:sz="8" w:space="0" w:color="999999"/>
              <w:left w:val="single" w:sz="8" w:space="0" w:color="999999"/>
              <w:bottom w:val="single" w:sz="12" w:space="0" w:color="666666"/>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Title</w:t>
            </w:r>
          </w:p>
        </w:tc>
        <w:tc>
          <w:tcPr>
            <w:tcW w:w="2640" w:type="dxa"/>
            <w:tcBorders>
              <w:top w:val="single" w:sz="8" w:space="0" w:color="999999"/>
              <w:left w:val="single" w:sz="8" w:space="0" w:color="999999"/>
              <w:bottom w:val="single" w:sz="12" w:space="0" w:color="666666"/>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Name</w:t>
            </w:r>
          </w:p>
        </w:tc>
        <w:tc>
          <w:tcPr>
            <w:tcW w:w="720" w:type="dxa"/>
            <w:tcBorders>
              <w:top w:val="single" w:sz="8" w:space="0" w:color="999999"/>
              <w:left w:val="single" w:sz="8" w:space="0" w:color="999999"/>
              <w:bottom w:val="single" w:sz="12" w:space="0" w:color="666666"/>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P/A</w:t>
            </w:r>
          </w:p>
        </w:tc>
      </w:tr>
      <w:tr w:rsidR="000024D8" w:rsidTr="000024D8">
        <w:trPr>
          <w:trHeight w:val="240"/>
        </w:trPr>
        <w:tc>
          <w:tcPr>
            <w:tcW w:w="2624" w:type="dxa"/>
            <w:tcBorders>
              <w:top w:val="single" w:sz="12" w:space="0" w:color="666666"/>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 xml:space="preserve">President </w:t>
            </w:r>
          </w:p>
        </w:tc>
        <w:tc>
          <w:tcPr>
            <w:tcW w:w="2640" w:type="dxa"/>
            <w:tcBorders>
              <w:top w:val="single" w:sz="12" w:space="0" w:color="666666"/>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Keith Welch (KW)</w:t>
            </w:r>
          </w:p>
        </w:tc>
        <w:tc>
          <w:tcPr>
            <w:tcW w:w="720" w:type="dxa"/>
            <w:tcBorders>
              <w:top w:val="single" w:sz="12" w:space="0" w:color="666666"/>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rPr>
                <w:rFonts w:ascii="Calibri" w:hAnsi="Calibri"/>
                <w:color w:val="000000"/>
                <w:sz w:val="22"/>
                <w:szCs w:val="22"/>
              </w:rPr>
            </w:pP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Vice President</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FF0000"/>
              </w:rPr>
              <w:t>VACANT</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w:t>
            </w: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Secretary</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FF0000"/>
              </w:rPr>
              <w:t>VACANT</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w:t>
            </w: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External Secretary </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FF0000"/>
              </w:rPr>
              <w:t>VACANT</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w:t>
            </w: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 xml:space="preserve">Treasurer </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Daniel Neely (DN)</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rPr>
                <w:rFonts w:ascii="Calibri" w:hAnsi="Calibri"/>
                <w:color w:val="000000"/>
                <w:sz w:val="22"/>
                <w:szCs w:val="22"/>
              </w:rPr>
            </w:pP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Club Affairs Officer</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FF0000"/>
              </w:rPr>
              <w:t>VACANT</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w:t>
            </w:r>
          </w:p>
        </w:tc>
      </w:tr>
      <w:tr w:rsidR="000024D8" w:rsidTr="000024D8">
        <w:trPr>
          <w:trHeight w:val="26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 xml:space="preserve">Publicity Commissioner </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Laura Bloom (LB)</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rPr>
                <w:rFonts w:ascii="Calibri" w:hAnsi="Calibri"/>
                <w:color w:val="000000"/>
                <w:sz w:val="22"/>
                <w:szCs w:val="22"/>
              </w:rPr>
            </w:pP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 xml:space="preserve">Student Advocate </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Corey J. Hollis (CH)</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rPr>
                <w:rFonts w:ascii="Calibri" w:hAnsi="Calibri"/>
                <w:color w:val="000000"/>
                <w:sz w:val="22"/>
                <w:szCs w:val="22"/>
              </w:rPr>
            </w:pPr>
          </w:p>
        </w:tc>
      </w:tr>
      <w:tr w:rsidR="000024D8" w:rsidTr="000024D8">
        <w:trPr>
          <w:trHeight w:val="22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 xml:space="preserve">Senator </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Enrique Ramos (ER)</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rPr>
                <w:rFonts w:ascii="Calibri" w:hAnsi="Calibri"/>
                <w:color w:val="000000"/>
                <w:sz w:val="22"/>
                <w:szCs w:val="22"/>
              </w:rPr>
            </w:pP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 xml:space="preserve">Senator </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Andy Tran (AT)</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rPr>
                <w:rFonts w:ascii="Calibri" w:hAnsi="Calibri"/>
                <w:color w:val="000000"/>
                <w:sz w:val="22"/>
                <w:szCs w:val="22"/>
              </w:rPr>
            </w:pPr>
          </w:p>
        </w:tc>
      </w:tr>
      <w:tr w:rsidR="000024D8" w:rsidTr="000024D8">
        <w:trPr>
          <w:trHeight w:val="22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 xml:space="preserve">Senator </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Aisha Jordan (AJ)</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rPr>
                <w:rFonts w:ascii="Calibri" w:hAnsi="Calibri"/>
                <w:color w:val="000000"/>
                <w:sz w:val="22"/>
                <w:szCs w:val="22"/>
              </w:rPr>
            </w:pP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 xml:space="preserve">Senator </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Sarah Jung (SJ)</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rPr>
                <w:rFonts w:ascii="Calibri" w:hAnsi="Calibri"/>
                <w:color w:val="000000"/>
                <w:sz w:val="22"/>
                <w:szCs w:val="22"/>
              </w:rPr>
            </w:pP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 xml:space="preserve">Senator </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proofErr w:type="spellStart"/>
            <w:r>
              <w:rPr>
                <w:color w:val="000000"/>
              </w:rPr>
              <w:t>Xuecheng</w:t>
            </w:r>
            <w:proofErr w:type="spellEnd"/>
            <w:r>
              <w:rPr>
                <w:color w:val="000000"/>
              </w:rPr>
              <w:t xml:space="preserve"> Zhang (XZ)</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rPr>
                <w:rFonts w:ascii="Calibri" w:hAnsi="Calibri"/>
                <w:color w:val="000000"/>
                <w:sz w:val="22"/>
                <w:szCs w:val="22"/>
              </w:rPr>
            </w:pP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Senator</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FF0000"/>
              </w:rPr>
              <w:t>VACANT</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w:t>
            </w: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Senator</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FF0000"/>
              </w:rPr>
              <w:t>VACANT</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w:t>
            </w:r>
          </w:p>
        </w:tc>
      </w:tr>
      <w:tr w:rsidR="000024D8" w:rsidTr="000024D8">
        <w:trPr>
          <w:trHeight w:val="22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Alternate Senator</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FF0000"/>
              </w:rPr>
              <w:t>VACANT</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w:t>
            </w:r>
          </w:p>
        </w:tc>
      </w:tr>
      <w:tr w:rsidR="000024D8" w:rsidTr="000024D8">
        <w:trPr>
          <w:trHeight w:val="240"/>
        </w:trPr>
        <w:tc>
          <w:tcPr>
            <w:tcW w:w="2624"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000000"/>
              </w:rPr>
              <w:t>Alternate Senator</w:t>
            </w:r>
          </w:p>
        </w:tc>
        <w:tc>
          <w:tcPr>
            <w:tcW w:w="264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rPr>
                <w:rFonts w:ascii="Calibri" w:hAnsi="Calibri"/>
                <w:color w:val="000000"/>
                <w:sz w:val="22"/>
                <w:szCs w:val="22"/>
              </w:rPr>
            </w:pPr>
            <w:r>
              <w:rPr>
                <w:color w:val="FF0000"/>
              </w:rPr>
              <w:t>VACANT</w:t>
            </w:r>
          </w:p>
        </w:tc>
        <w:tc>
          <w:tcPr>
            <w:tcW w:w="720" w:type="dxa"/>
            <w:tcBorders>
              <w:top w:val="single" w:sz="8" w:space="0" w:color="999999"/>
              <w:left w:val="single" w:sz="8" w:space="0" w:color="999999"/>
              <w:bottom w:val="single" w:sz="8" w:space="0" w:color="999999"/>
              <w:right w:val="single" w:sz="8" w:space="0" w:color="999999"/>
            </w:tcBorders>
            <w:tcMar>
              <w:top w:w="0" w:type="dxa"/>
              <w:left w:w="116" w:type="dxa"/>
              <w:bottom w:w="0" w:type="dxa"/>
              <w:right w:w="116" w:type="dxa"/>
            </w:tcMar>
            <w:hideMark/>
          </w:tcPr>
          <w:p w:rsidR="000024D8" w:rsidRDefault="000024D8">
            <w:pPr>
              <w:pStyle w:val="NormalWeb"/>
              <w:spacing w:before="0" w:beforeAutospacing="0" w:after="0" w:afterAutospacing="0"/>
              <w:jc w:val="center"/>
              <w:rPr>
                <w:rFonts w:ascii="Calibri" w:hAnsi="Calibri"/>
                <w:color w:val="000000"/>
                <w:sz w:val="22"/>
                <w:szCs w:val="22"/>
              </w:rPr>
            </w:pPr>
            <w:r>
              <w:rPr>
                <w:color w:val="000000"/>
              </w:rPr>
              <w:t>-</w:t>
            </w:r>
          </w:p>
        </w:tc>
      </w:tr>
    </w:tbl>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rPr>
        <w:t>Y = Yay vote, N = Nay vote, A = Abstain vote</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rPr>
        <w:t xml:space="preserve">I.  ADOPTION OF THE AGENDA: </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rPr>
        <w:t>II</w:t>
      </w:r>
      <w:r>
        <w:rPr>
          <w:b/>
          <w:bCs/>
          <w:color w:val="000000"/>
        </w:rPr>
        <w:t>. APPROVAL</w:t>
      </w:r>
      <w:r>
        <w:rPr>
          <w:b/>
          <w:bCs/>
          <w:color w:val="000000"/>
        </w:rPr>
        <w:t xml:space="preserve"> OF THE MINUTES: </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rPr>
        <w:t>III</w:t>
      </w:r>
      <w:r>
        <w:rPr>
          <w:b/>
          <w:bCs/>
          <w:color w:val="000000"/>
        </w:rPr>
        <w:t>. COMMUNICATIONS</w:t>
      </w:r>
      <w:r>
        <w:rPr>
          <w:b/>
          <w:bCs/>
          <w:color w:val="000000"/>
        </w:rPr>
        <w:t xml:space="preserve"> FROM MEMBERS OF THE PUBLIC:</w:t>
      </w:r>
    </w:p>
    <w:p w:rsidR="000024D8" w:rsidRDefault="000024D8" w:rsidP="000024D8">
      <w:pPr>
        <w:pStyle w:val="NormalWeb"/>
        <w:shd w:val="clear" w:color="auto" w:fill="FFFFFF"/>
        <w:spacing w:before="0" w:beforeAutospacing="0" w:after="0" w:afterAutospacing="0"/>
        <w:rPr>
          <w:rFonts w:ascii="Calibri" w:hAnsi="Calibri" w:cs="Arial"/>
          <w:color w:val="000000"/>
          <w:sz w:val="22"/>
          <w:szCs w:val="22"/>
        </w:rPr>
      </w:pPr>
      <w:r>
        <w:rPr>
          <w:color w:val="000000"/>
          <w:sz w:val="16"/>
          <w:szCs w:val="16"/>
        </w:rPr>
        <w:t xml:space="preserve">(Please line-up to speak when your name is called.) This portion of the agenda provides an opportunity for members of the public to address the Council on matters not included on this agenda. </w:t>
      </w:r>
      <w:r>
        <w:rPr>
          <w:color w:val="FF0000"/>
          <w:sz w:val="16"/>
          <w:szCs w:val="16"/>
        </w:rPr>
        <w:t>A maximum of 14 minutes (2 minutes per individual maximum) will be provided for speakers under this agenda item</w:t>
      </w:r>
      <w:r>
        <w:rPr>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color w:val="008000"/>
          <w:sz w:val="16"/>
          <w:szCs w:val="16"/>
        </w:rPr>
        <w:t>requesting to</w:t>
      </w:r>
      <w:r>
        <w:rPr>
          <w:color w:val="000000"/>
          <w:sz w:val="16"/>
          <w:szCs w:val="16"/>
        </w:rPr>
        <w:t xml:space="preserve"> address an item included on the agenda will be </w:t>
      </w:r>
      <w:r>
        <w:rPr>
          <w:color w:val="000000"/>
          <w:sz w:val="16"/>
          <w:szCs w:val="16"/>
        </w:rPr>
        <w:lastRenderedPageBreak/>
        <w:t>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rPr>
        <w:t>IV</w:t>
      </w:r>
      <w:r>
        <w:rPr>
          <w:b/>
          <w:bCs/>
          <w:color w:val="000000"/>
        </w:rPr>
        <w:t>. OLD</w:t>
      </w:r>
      <w:r>
        <w:rPr>
          <w:b/>
          <w:bCs/>
          <w:color w:val="000000"/>
        </w:rPr>
        <w:t xml:space="preserve"> BUSINESS</w:t>
      </w:r>
    </w:p>
    <w:p w:rsidR="000024D8" w:rsidRDefault="000024D8" w:rsidP="000024D8">
      <w:pPr>
        <w:pStyle w:val="NormalWeb"/>
        <w:shd w:val="clear" w:color="auto" w:fill="FFFFFF"/>
        <w:spacing w:before="0" w:beforeAutospacing="0" w:after="0" w:afterAutospacing="0"/>
        <w:rPr>
          <w:rFonts w:ascii="Calibri" w:hAnsi="Calibri" w:cs="Arial"/>
          <w:color w:val="000000"/>
          <w:sz w:val="22"/>
          <w:szCs w:val="22"/>
        </w:rPr>
      </w:pPr>
      <w:r>
        <w:rPr>
          <w:color w:val="000000"/>
        </w:rPr>
        <w:t>A.  ASLC Office Cleanliness and Organization:  The council will discuss best practices for maintaining ASLC spaces. (10min)</w:t>
      </w:r>
    </w:p>
    <w:p w:rsidR="000024D8" w:rsidRDefault="000024D8" w:rsidP="000024D8">
      <w:pPr>
        <w:pStyle w:val="NormalWeb"/>
        <w:shd w:val="clear" w:color="auto" w:fill="FFFFFF"/>
        <w:spacing w:before="0" w:beforeAutospacing="0" w:after="0" w:afterAutospacing="0"/>
        <w:rPr>
          <w:rFonts w:ascii="Calibri" w:hAnsi="Calibri" w:cs="Arial"/>
          <w:color w:val="000000"/>
          <w:sz w:val="22"/>
          <w:szCs w:val="22"/>
        </w:rPr>
      </w:pPr>
      <w:r>
        <w:rPr>
          <w:color w:val="000000"/>
        </w:rPr>
        <w:t xml:space="preserve">B.  Fall Events Planning/Calendar:  The council will discuss and plan potential events for the </w:t>
      </w:r>
      <w:r>
        <w:rPr>
          <w:color w:val="000000"/>
        </w:rPr>
        <w:t>fall</w:t>
      </w:r>
      <w:r>
        <w:rPr>
          <w:color w:val="000000"/>
        </w:rPr>
        <w:t xml:space="preserve"> semester. (10min)</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rPr>
        <w:t>V.  NEW BUSINESS:</w:t>
      </w:r>
    </w:p>
    <w:p w:rsidR="000024D8" w:rsidRDefault="000024D8" w:rsidP="000024D8">
      <w:pPr>
        <w:pStyle w:val="NormalWeb"/>
        <w:shd w:val="clear" w:color="auto" w:fill="FFFFFF"/>
        <w:spacing w:before="0" w:beforeAutospacing="0" w:after="0" w:afterAutospacing="0"/>
        <w:rPr>
          <w:rFonts w:ascii="Calibri" w:hAnsi="Calibri" w:cs="Arial"/>
          <w:color w:val="000000"/>
          <w:sz w:val="22"/>
          <w:szCs w:val="22"/>
        </w:rPr>
      </w:pPr>
      <w:r>
        <w:rPr>
          <w:color w:val="000000"/>
        </w:rPr>
        <w:t>A.  Welcome Back Week planning/execution:  ASLC members will update the council on their planning task and offer suggestions for events and resources for Welcome Back Week August 21st - 24th. (15min</w:t>
      </w:r>
      <w:proofErr w:type="gramStart"/>
      <w:r>
        <w:rPr>
          <w:color w:val="000000"/>
        </w:rPr>
        <w:t>)</w:t>
      </w:r>
      <w:proofErr w:type="gramEnd"/>
      <w:r>
        <w:rPr>
          <w:color w:val="000000"/>
        </w:rPr>
        <w:br/>
        <w:t>B.  ASLC Best Practices Round Table:  ASLC will discuss their current and vacant position amongst council members to clarify our mission and duties. (15min)</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rPr>
        <w:t>VI</w:t>
      </w:r>
      <w:r>
        <w:rPr>
          <w:b/>
          <w:bCs/>
          <w:color w:val="000000"/>
        </w:rPr>
        <w:t>. ANNOUNCEMENTS</w:t>
      </w:r>
      <w:r>
        <w:rPr>
          <w:b/>
          <w:bCs/>
          <w:color w:val="000000"/>
        </w:rPr>
        <w:t>:</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color w:val="000000"/>
        </w:rPr>
        <w:t>                                                                              </w:t>
      </w:r>
    </w:p>
    <w:p w:rsidR="000024D8" w:rsidRDefault="000024D8" w:rsidP="000024D8">
      <w:pPr>
        <w:pStyle w:val="NormalWeb"/>
        <w:shd w:val="clear" w:color="auto" w:fill="FFFFFF"/>
        <w:spacing w:before="0" w:beforeAutospacing="0" w:after="0" w:afterAutospacing="0"/>
        <w:jc w:val="center"/>
        <w:rPr>
          <w:rFonts w:ascii="Calibri" w:hAnsi="Calibri" w:cs="Arial"/>
          <w:color w:val="000000"/>
          <w:sz w:val="22"/>
          <w:szCs w:val="22"/>
        </w:rPr>
      </w:pPr>
      <w:r>
        <w:rPr>
          <w:b/>
          <w:bCs/>
          <w:color w:val="000000"/>
        </w:rPr>
        <w:t>VII</w:t>
      </w:r>
      <w:bookmarkStart w:id="0" w:name="_GoBack"/>
      <w:bookmarkEnd w:id="0"/>
      <w:r>
        <w:rPr>
          <w:b/>
          <w:bCs/>
          <w:color w:val="000000"/>
        </w:rPr>
        <w:t>. MEETING</w:t>
      </w:r>
      <w:r>
        <w:rPr>
          <w:b/>
          <w:bCs/>
          <w:color w:val="000000"/>
        </w:rPr>
        <w:t xml:space="preserve"> ADJOURNED: </w:t>
      </w:r>
    </w:p>
    <w:p w:rsidR="00D52B12" w:rsidRDefault="00D52B12"/>
    <w:sectPr w:rsidR="00D52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D8"/>
    <w:rsid w:val="000024D8"/>
    <w:rsid w:val="00D5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0346D-D437-449F-B570-722C495B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0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Albury</dc:creator>
  <cp:keywords/>
  <dc:description/>
  <cp:lastModifiedBy>Gary Albury</cp:lastModifiedBy>
  <cp:revision>1</cp:revision>
  <dcterms:created xsi:type="dcterms:W3CDTF">2017-09-05T17:35:00Z</dcterms:created>
  <dcterms:modified xsi:type="dcterms:W3CDTF">2017-09-05T17:36:00Z</dcterms:modified>
</cp:coreProperties>
</file>