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8D99C07" w:rsidR="003652A0" w:rsidRPr="003652A0" w:rsidRDefault="00C15089" w:rsidP="2072B622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December</w:t>
      </w:r>
      <w:r w:rsidR="2072B622" w:rsidRPr="2072B62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6</w:t>
      </w:r>
      <w:r w:rsidR="2072B622" w:rsidRPr="2072B622">
        <w:rPr>
          <w:b/>
          <w:bCs/>
          <w:color w:val="FF0000"/>
        </w:rPr>
        <w:t xml:space="preserve">, 2019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3436CDD6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</w:t>
      </w:r>
      <w:r w:rsidR="00AB6551">
        <w:rPr>
          <w:rFonts w:ascii="Verdana" w:eastAsia="Times New Roman" w:hAnsi="Verdana" w:cs="Arial"/>
          <w:b/>
          <w:sz w:val="16"/>
          <w:szCs w:val="16"/>
        </w:rPr>
        <w:t>9</w:t>
      </w:r>
      <w:r>
        <w:rPr>
          <w:rFonts w:ascii="Verdana" w:eastAsia="Times New Roman" w:hAnsi="Verdana" w:cs="Arial"/>
          <w:b/>
          <w:sz w:val="16"/>
          <w:szCs w:val="16"/>
        </w:rPr>
        <w:t>/</w:t>
      </w:r>
      <w:r w:rsidR="00AB6551">
        <w:rPr>
          <w:rFonts w:ascii="Verdana" w:eastAsia="Times New Roman" w:hAnsi="Verdana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2E368EC8" w:rsidR="00627527" w:rsidRPr="0004662F" w:rsidRDefault="0004662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49E5D157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42DAE717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 xml:space="preserve">Louis </w:t>
            </w:r>
            <w:proofErr w:type="spellStart"/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>Quindlen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5C733AC9" w:rsidR="00627527" w:rsidRPr="00A83010" w:rsidRDefault="00A83010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i/>
                <w:sz w:val="16"/>
                <w:szCs w:val="16"/>
              </w:rPr>
              <w:t>v</w:t>
            </w:r>
            <w:r w:rsidRPr="00A83010">
              <w:rPr>
                <w:rFonts w:ascii="Verdana" w:eastAsia="Times New Roman" w:hAnsi="Verdana" w:cs="Arial"/>
                <w:i/>
                <w:sz w:val="16"/>
                <w:szCs w:val="16"/>
              </w:rPr>
              <w:t>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1573567" w:rsidR="00627527" w:rsidRPr="00BA71A2" w:rsidRDefault="0004662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Cynthia Alvarado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200293CF" w:rsidR="00627527" w:rsidRPr="00A83010" w:rsidRDefault="00A83010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A83010">
              <w:rPr>
                <w:rFonts w:ascii="Verdana" w:eastAsia="Times New Roman" w:hAnsi="Verdana" w:cs="Arial"/>
                <w:sz w:val="16"/>
                <w:szCs w:val="16"/>
              </w:rPr>
              <w:t>Emilio Cruz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762"/>
        <w:gridCol w:w="7740"/>
        <w:gridCol w:w="1350"/>
        <w:gridCol w:w="2458"/>
      </w:tblGrid>
      <w:tr w:rsidR="001C7C1B" w14:paraId="32286E9E" w14:textId="77777777" w:rsidTr="00B56A03">
        <w:trPr>
          <w:trHeight w:val="117"/>
        </w:trPr>
        <w:tc>
          <w:tcPr>
            <w:tcW w:w="3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B56A03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B56A03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B56A03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C57FF" w14:textId="040E9543" w:rsidR="001C7C1B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 xml:space="preserve">From </w:t>
            </w:r>
            <w:r w:rsidR="007B4938">
              <w:rPr>
                <w:sz w:val="17"/>
                <w:szCs w:val="17"/>
              </w:rPr>
              <w:t>11.15</w:t>
            </w:r>
            <w:r w:rsidRPr="2072B622">
              <w:rPr>
                <w:sz w:val="17"/>
                <w:szCs w:val="17"/>
              </w:rPr>
              <w:t>.19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B56A03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07FE7" w14:textId="591441D0" w:rsidR="00DD0FF8" w:rsidRDefault="007B4938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level 0 now has spot for success criteria, Meta will soon have possibility for multiple SLOs at once</w:t>
            </w:r>
            <w:r w:rsidR="00C64F37">
              <w:rPr>
                <w:sz w:val="17"/>
                <w:szCs w:val="17"/>
              </w:rPr>
              <w:t xml:space="preserve"> we can test in sandbox soon (will this allow for individual SLOs to be pulled into PLOs/ILOs separately?)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</w:t>
            </w:r>
            <w:bookmarkStart w:id="0" w:name="_GoBack"/>
            <w:bookmarkEnd w:id="0"/>
            <w:r>
              <w:rPr>
                <w:sz w:val="17"/>
                <w:szCs w:val="17"/>
              </w:rPr>
              <w:t>10-11:20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14:paraId="1BDB413F" w14:textId="77777777" w:rsidTr="00B56A03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D64461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A0339" w14:textId="3E147BBF" w:rsidR="00492D82" w:rsidRDefault="007B4938" w:rsidP="007B493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 rubrics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2A6E35" w14:textId="3AA6F875" w:rsidR="00492D82" w:rsidRDefault="007B4938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 Feb 7</w:t>
            </w:r>
            <w:r w:rsidRPr="007B4938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could be a workday for ILO rubrics, </w:t>
            </w:r>
            <w:r w:rsidR="00B2106D">
              <w:rPr>
                <w:sz w:val="17"/>
                <w:szCs w:val="17"/>
              </w:rPr>
              <w:t>expand on</w:t>
            </w:r>
            <w:r>
              <w:rPr>
                <w:sz w:val="17"/>
                <w:szCs w:val="17"/>
              </w:rPr>
              <w:t xml:space="preserve"> process we’ll use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2D28E" w14:textId="090E4EEA" w:rsidR="00492D8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11:20-11:</w:t>
            </w:r>
            <w:r w:rsidR="00C64F37">
              <w:rPr>
                <w:sz w:val="17"/>
                <w:szCs w:val="17"/>
              </w:rPr>
              <w:t>30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E44942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</w:tr>
      <w:tr w:rsidR="2072B622" w14:paraId="4B395E31" w14:textId="77777777" w:rsidTr="00B56A03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593F1" w14:textId="4430ECAF" w:rsidR="2072B622" w:rsidRDefault="2072B622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97BEB" w14:textId="3460E88E" w:rsidR="2072B622" w:rsidRDefault="007B4938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Recommendation </w:t>
            </w:r>
            <w:r w:rsidR="00B2106D">
              <w:rPr>
                <w:sz w:val="17"/>
                <w:szCs w:val="17"/>
              </w:rPr>
              <w:t>re: helping folks with assessment work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56CC94" w14:textId="77777777" w:rsidR="2072B622" w:rsidRDefault="007B4938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Draft: </w:t>
            </w:r>
          </w:p>
          <w:p w14:paraId="053C652B" w14:textId="77777777" w:rsidR="00A14ED2" w:rsidRDefault="007B4938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 order to best support faculty in the process of assessment and data entry, the Learning Assessment Committee recommends </w:t>
            </w:r>
            <w:r w:rsidR="00A14ED2">
              <w:rPr>
                <w:sz w:val="17"/>
                <w:szCs w:val="17"/>
              </w:rPr>
              <w:t>we focus on encouraging employees to take ownership of their department’s/unit’s work. To this end we will:</w:t>
            </w:r>
          </w:p>
          <w:p w14:paraId="3A89B7C5" w14:textId="12CA8CC1" w:rsidR="007B4938" w:rsidRDefault="00A14ED2" w:rsidP="00A14ED2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Emphasize using available training materials as a first step</w:t>
            </w:r>
          </w:p>
          <w:p w14:paraId="6E09AFC2" w14:textId="3DE9E609" w:rsidR="00A14ED2" w:rsidRDefault="00A14ED2" w:rsidP="00A14ED2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Encourage folks to contact their LAC representative with</w:t>
            </w:r>
            <w:r w:rsidR="00B2106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intermediate/advanced questions about assessment</w:t>
            </w:r>
            <w:r w:rsidR="00B2106D">
              <w:rPr>
                <w:sz w:val="17"/>
                <w:szCs w:val="17"/>
              </w:rPr>
              <w:t xml:space="preserve"> or topics not covered in training materials</w:t>
            </w:r>
          </w:p>
          <w:p w14:paraId="79B44335" w14:textId="7DF93806" w:rsidR="00A14ED2" w:rsidRDefault="00A14ED2" w:rsidP="00A14ED2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Encourage asking Assessment Coordinator(s) questions regarding with intermediate/advanced questions about assessment,</w:t>
            </w:r>
            <w:r w:rsidR="00B2106D">
              <w:rPr>
                <w:sz w:val="17"/>
                <w:szCs w:val="17"/>
              </w:rPr>
              <w:t xml:space="preserve"> items that require admin access to Meta, </w:t>
            </w:r>
            <w:r>
              <w:rPr>
                <w:sz w:val="17"/>
                <w:szCs w:val="17"/>
              </w:rPr>
              <w:t>reports (APR, CPR, assessment plans, etc.)</w:t>
            </w:r>
            <w:r w:rsidR="00C64F37">
              <w:rPr>
                <w:sz w:val="17"/>
                <w:szCs w:val="17"/>
              </w:rPr>
              <w:t>, or to hold departmental trainings on intermediate/advanced topics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1EFAC" w14:textId="17EBAD79" w:rsidR="2072B62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11:3</w:t>
            </w:r>
            <w:r w:rsidR="00C64F37">
              <w:rPr>
                <w:sz w:val="17"/>
                <w:szCs w:val="17"/>
              </w:rPr>
              <w:t>0</w:t>
            </w:r>
            <w:r w:rsidRPr="2072B622">
              <w:rPr>
                <w:sz w:val="17"/>
                <w:szCs w:val="17"/>
              </w:rPr>
              <w:t>-11:</w:t>
            </w:r>
            <w:r w:rsidR="00C64F37">
              <w:rPr>
                <w:sz w:val="17"/>
                <w:szCs w:val="17"/>
              </w:rPr>
              <w:t>45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DBE3E" w14:textId="21E2F223" w:rsidR="2072B622" w:rsidRDefault="2072B622" w:rsidP="2072B622">
            <w:pPr>
              <w:pStyle w:val="Default"/>
              <w:rPr>
                <w:sz w:val="17"/>
                <w:szCs w:val="17"/>
              </w:rPr>
            </w:pPr>
          </w:p>
        </w:tc>
      </w:tr>
      <w:tr w:rsidR="00A12319" w14:paraId="4A400ECF" w14:textId="77777777" w:rsidTr="00B56A03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97733B" w14:textId="77777777" w:rsidR="00A12319" w:rsidRDefault="00A1231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C6C48" w14:textId="1A70A57C" w:rsidR="00A12319" w:rsidRDefault="007B4938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ISER work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2FBCB" w14:textId="6E893C11" w:rsidR="00A12319" w:rsidRDefault="00A12319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27B54" w14:textId="1BED0BA4" w:rsidR="00A12319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</w:t>
            </w:r>
            <w:r w:rsidR="00C64F37">
              <w:rPr>
                <w:sz w:val="17"/>
                <w:szCs w:val="17"/>
              </w:rPr>
              <w:t>45</w:t>
            </w:r>
            <w:r w:rsidRPr="2072B622">
              <w:rPr>
                <w:sz w:val="17"/>
                <w:szCs w:val="17"/>
              </w:rPr>
              <w:t>-12:30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022487" w14:textId="77777777" w:rsidR="00A12319" w:rsidRDefault="00A12319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2072B62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A93620" w:rsidRPr="00A93620" w14:paraId="53444CAC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594F0EFA" w:rsidR="006D4AC4" w:rsidRPr="00A93620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A93620">
              <w:rPr>
                <w:color w:val="000000" w:themeColor="text1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="00525D34" w:rsidRPr="00A93620">
              <w:rPr>
                <w:color w:val="000000" w:themeColor="text1"/>
                <w:sz w:val="18"/>
                <w:szCs w:val="18"/>
              </w:rPr>
              <w:t>BIOL, BUS+, CHEM+, COSM, DANCE, MUSIC, THART, CULIN, ECT, EET</w:t>
            </w:r>
            <w:r w:rsidR="000B1625" w:rsidRPr="00A93620">
              <w:rPr>
                <w:color w:val="000000" w:themeColor="text1"/>
                <w:sz w:val="18"/>
                <w:szCs w:val="18"/>
              </w:rPr>
              <w:t>)</w:t>
            </w:r>
            <w:r w:rsidR="00525D34" w:rsidRPr="00A9362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2C634A" w14:textId="77777777" w:rsidR="006D4AC4" w:rsidRPr="00A93620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A93620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6D4AC4" w:rsidRPr="00A93620" w:rsidRDefault="006D4AC4" w:rsidP="00C8129C">
            <w:pPr>
              <w:pStyle w:val="Default"/>
              <w:rPr>
                <w:i/>
                <w:color w:val="000000" w:themeColor="text1"/>
                <w:sz w:val="18"/>
                <w:szCs w:val="18"/>
              </w:rPr>
            </w:pPr>
            <w:r w:rsidRPr="00A93620">
              <w:rPr>
                <w:color w:val="000000" w:themeColor="text1"/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A93620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A93620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A93620" w:rsidRDefault="2072B622" w:rsidP="2072B622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A93620">
              <w:rPr>
                <w:color w:val="000000" w:themeColor="text1"/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A93620" w:rsidRDefault="006D4AC4" w:rsidP="00C8129C">
            <w:pPr>
              <w:pStyle w:val="Default"/>
              <w:rPr>
                <w:i/>
                <w:color w:val="000000" w:themeColor="text1"/>
                <w:sz w:val="18"/>
                <w:szCs w:val="18"/>
              </w:rPr>
            </w:pPr>
            <w:r w:rsidRPr="00A93620">
              <w:rPr>
                <w:color w:val="FF0000"/>
                <w:sz w:val="18"/>
                <w:szCs w:val="18"/>
              </w:rPr>
              <w:t>6</w:t>
            </w:r>
            <w:r w:rsidRPr="00A93620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A93620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93620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66512D50" w14:textId="77777777" w:rsidR="006D4AC4" w:rsidRPr="00A93620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A93620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0541A"/>
    <w:multiLevelType w:val="hybridMultilevel"/>
    <w:tmpl w:val="58CC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C7C1B"/>
    <w:rsid w:val="001E35FB"/>
    <w:rsid w:val="001F32FB"/>
    <w:rsid w:val="002045BC"/>
    <w:rsid w:val="00297708"/>
    <w:rsid w:val="002A7C50"/>
    <w:rsid w:val="002B5F33"/>
    <w:rsid w:val="00350701"/>
    <w:rsid w:val="003652A0"/>
    <w:rsid w:val="003C6423"/>
    <w:rsid w:val="00407B7D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B4938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4ED2"/>
    <w:rsid w:val="00A178BA"/>
    <w:rsid w:val="00A3079A"/>
    <w:rsid w:val="00A4185C"/>
    <w:rsid w:val="00A43F42"/>
    <w:rsid w:val="00A55E62"/>
    <w:rsid w:val="00A83010"/>
    <w:rsid w:val="00A8409B"/>
    <w:rsid w:val="00A85011"/>
    <w:rsid w:val="00A859F1"/>
    <w:rsid w:val="00A93620"/>
    <w:rsid w:val="00AA2E07"/>
    <w:rsid w:val="00AA7419"/>
    <w:rsid w:val="00AB6551"/>
    <w:rsid w:val="00AC5692"/>
    <w:rsid w:val="00B2106D"/>
    <w:rsid w:val="00B56A03"/>
    <w:rsid w:val="00BB32D8"/>
    <w:rsid w:val="00BD206E"/>
    <w:rsid w:val="00BE565C"/>
    <w:rsid w:val="00BE7E5E"/>
    <w:rsid w:val="00C13104"/>
    <w:rsid w:val="00C15089"/>
    <w:rsid w:val="00C16A69"/>
    <w:rsid w:val="00C61334"/>
    <w:rsid w:val="00C64F37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  <w:rsid w:val="2072B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6</cp:revision>
  <cp:lastPrinted>2019-12-06T18:03:00Z</cp:lastPrinted>
  <dcterms:created xsi:type="dcterms:W3CDTF">2019-12-05T02:06:00Z</dcterms:created>
  <dcterms:modified xsi:type="dcterms:W3CDTF">2019-12-06T18:04:00Z</dcterms:modified>
</cp:coreProperties>
</file>