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A0" w:rsidP="003652A0" w:rsidRDefault="001C7C1B" w14:paraId="79BCEB3A" w14:textId="77777777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:rsidRPr="003652A0" w:rsidR="003652A0" w:rsidP="2072B622" w:rsidRDefault="00C15089" w14:paraId="42E8D16C" w14:textId="2B1FB15C">
      <w:pPr>
        <w:pStyle w:val="Default"/>
        <w:jc w:val="center"/>
        <w:rPr>
          <w:b w:val="1"/>
          <w:bCs w:val="1"/>
          <w:color w:val="FF0000"/>
        </w:rPr>
      </w:pPr>
      <w:r w:rsidRPr="6800F3EF" w:rsidR="5897FB40">
        <w:rPr>
          <w:b w:val="1"/>
          <w:bCs w:val="1"/>
          <w:color w:val="FF0000"/>
        </w:rPr>
        <w:t>February 7</w:t>
      </w:r>
      <w:r w:rsidRPr="6800F3EF" w:rsidR="2072B622">
        <w:rPr>
          <w:b w:val="1"/>
          <w:bCs w:val="1"/>
          <w:color w:val="FF0000"/>
        </w:rPr>
        <w:t>, 20</w:t>
      </w:r>
      <w:r w:rsidRPr="6800F3EF" w:rsidR="5DB30DAB">
        <w:rPr>
          <w:b w:val="1"/>
          <w:bCs w:val="1"/>
          <w:color w:val="FF0000"/>
        </w:rPr>
        <w:t>20</w:t>
      </w:r>
      <w:r w:rsidRPr="6800F3EF" w:rsidR="2072B622">
        <w:rPr>
          <w:b w:val="1"/>
          <w:bCs w:val="1"/>
          <w:color w:val="FF0000"/>
        </w:rPr>
        <w:t xml:space="preserve"> </w:t>
      </w:r>
    </w:p>
    <w:p w:rsidR="001C7C1B" w:rsidP="003652A0" w:rsidRDefault="00E221F2" w14:paraId="5F4CCD72" w14:textId="78B6FFF6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:rsidR="000D08FF" w:rsidP="003652A0" w:rsidRDefault="000D08FF" w14:paraId="3FD44399" w14:textId="77777777">
      <w:pPr>
        <w:pStyle w:val="Default"/>
        <w:jc w:val="center"/>
        <w:rPr>
          <w:b/>
        </w:rPr>
      </w:pPr>
    </w:p>
    <w:p w:rsidRPr="001F32FB" w:rsidR="00ED3C69" w:rsidP="00ED3C69" w:rsidRDefault="006D4AC4" w14:paraId="21E453BF" w14:textId="3436CDD6"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  <w:r>
        <w:rPr>
          <w:rFonts w:ascii="Verdana" w:hAnsi="Verdana" w:eastAsia="Times New Roman" w:cs="Arial"/>
          <w:b/>
          <w:sz w:val="16"/>
          <w:szCs w:val="16"/>
        </w:rPr>
        <w:t>LAC Membership 201</w:t>
      </w:r>
      <w:r w:rsidR="00AB6551">
        <w:rPr>
          <w:rFonts w:ascii="Verdana" w:hAnsi="Verdana" w:eastAsia="Times New Roman" w:cs="Arial"/>
          <w:b/>
          <w:sz w:val="16"/>
          <w:szCs w:val="16"/>
        </w:rPr>
        <w:t>9</w:t>
      </w:r>
      <w:r>
        <w:rPr>
          <w:rFonts w:ascii="Verdana" w:hAnsi="Verdana" w:eastAsia="Times New Roman" w:cs="Arial"/>
          <w:b/>
          <w:sz w:val="16"/>
          <w:szCs w:val="16"/>
        </w:rPr>
        <w:t>/</w:t>
      </w:r>
      <w:r w:rsidR="00AB6551">
        <w:rPr>
          <w:rFonts w:ascii="Verdana" w:hAnsi="Verdana" w:eastAsia="Times New Roman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Pr="00BA71A2" w:rsidR="00627527" w:rsidTr="6800F3EF" w14:paraId="751C962A" w14:textId="77777777">
        <w:tc>
          <w:tcPr>
            <w:tcW w:w="2753" w:type="dxa"/>
            <w:tcMar/>
          </w:tcPr>
          <w:p w:rsidRPr="00BA71A2" w:rsidR="00627527" w:rsidP="00BE565C" w:rsidRDefault="00627527" w14:paraId="56482F90" w14:textId="2305220A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  <w:tcMar/>
          </w:tcPr>
          <w:p w:rsidRPr="00A859F1" w:rsidR="00627527" w:rsidP="00BE565C" w:rsidRDefault="00A859F1" w14:paraId="2A559562" w14:textId="43CE37E5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A859F1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  <w:tcMar/>
          </w:tcPr>
          <w:p w:rsidRPr="00BA71A2" w:rsidR="00627527" w:rsidP="00BE565C" w:rsidRDefault="00627527" w14:paraId="3050A3E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Mar/>
          </w:tcPr>
          <w:p w:rsidR="00627527" w:rsidP="00BE565C" w:rsidRDefault="00627527" w14:paraId="20AD6DFA" w14:textId="501C730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  <w:tcMar/>
          </w:tcPr>
          <w:p w:rsidRPr="0004662F" w:rsidR="00627527" w:rsidP="00BE565C" w:rsidRDefault="0004662F" w14:paraId="3860D01C" w14:textId="2E368EC8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4662F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6800F3EF" w14:paraId="3EFB8588" w14:textId="77777777">
        <w:tc>
          <w:tcPr>
            <w:tcW w:w="2753" w:type="dxa"/>
            <w:tcMar/>
          </w:tcPr>
          <w:p w:rsidRPr="00BA71A2" w:rsidR="00627527" w:rsidP="00BE565C" w:rsidRDefault="00627527" w14:paraId="4F6D8447" w14:textId="27EE509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  <w:tcMar/>
          </w:tcPr>
          <w:p w:rsidRPr="00F10A1E" w:rsidR="00627527" w:rsidP="6800F3EF" w:rsidRDefault="00D41A12" w14:paraId="22DFE333" w14:textId="54C036C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800F3EF" w:rsidR="2D896260">
              <w:rPr>
                <w:rFonts w:ascii="Verdana" w:hAnsi="Verdana" w:eastAsia="Times New Roman" w:cs="Arial"/>
                <w:i w:val="1"/>
                <w:iCs w:val="1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021BD11B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Mar/>
          </w:tcPr>
          <w:p w:rsidRPr="00DD3B48" w:rsidR="00627527" w:rsidP="00DD3B48" w:rsidRDefault="00627527" w14:paraId="31DFCE70" w14:textId="71FF6E2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At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-Large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  <w:tcMar/>
          </w:tcPr>
          <w:p w:rsidR="00627527" w:rsidP="00BE565C" w:rsidRDefault="00627527" w14:paraId="62492E9E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</w:p>
          <w:p w:rsidRPr="00D41A12" w:rsidR="00E5086B" w:rsidP="00864482" w:rsidRDefault="00D41A12" w14:paraId="209CEB4C" w14:textId="0D12A690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D41A12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6800F3EF" w14:paraId="7458C9A4" w14:textId="77777777">
        <w:tc>
          <w:tcPr>
            <w:tcW w:w="2753" w:type="dxa"/>
            <w:tcMar/>
          </w:tcPr>
          <w:p w:rsidRPr="00BA71A2" w:rsidR="00627527" w:rsidP="00BE565C" w:rsidRDefault="00627527" w14:paraId="523E7CFF" w14:textId="2D641C0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  <w:tcMar/>
          </w:tcPr>
          <w:p w:rsidRPr="00A859F1" w:rsidR="00627527" w:rsidP="00BE565C" w:rsidRDefault="00A859F1" w14:paraId="4B8190A7" w14:textId="7E8D044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44973A9F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Mar/>
          </w:tcPr>
          <w:p w:rsidRPr="00BA71A2" w:rsidR="00627527" w:rsidP="00BE565C" w:rsidRDefault="00627527" w14:paraId="78B0CB70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Mar/>
          </w:tcPr>
          <w:p w:rsidRPr="00BA71A2" w:rsidR="00627527" w:rsidP="00BE565C" w:rsidRDefault="00627527" w14:paraId="1B6B0984" w14:textId="5C86B103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6800F3EF" w14:paraId="642DC2E4" w14:textId="77777777">
        <w:tc>
          <w:tcPr>
            <w:tcW w:w="2753" w:type="dxa"/>
            <w:tcMar/>
          </w:tcPr>
          <w:p w:rsidRPr="00BA71A2" w:rsidR="00627527" w:rsidP="00BE565C" w:rsidRDefault="00627527" w14:paraId="0D3C9DBB" w14:textId="2537813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CTE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  <w:tcMar/>
          </w:tcPr>
          <w:p w:rsidRPr="002045BC" w:rsidR="00627527" w:rsidP="00A3079A" w:rsidRDefault="00627527" w14:paraId="4A96568F" w14:textId="42DAE717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hAnsi="Verdana" w:eastAsia="Times New Roman" w:cs="Arial"/>
                <w:sz w:val="16"/>
                <w:szCs w:val="16"/>
              </w:rPr>
              <w:t>Louis Quindlen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04838EC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Mar/>
          </w:tcPr>
          <w:p w:rsidRPr="00BA71A2" w:rsidR="00627527" w:rsidP="00BE565C" w:rsidRDefault="00627527" w14:paraId="4609588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Mar/>
          </w:tcPr>
          <w:p w:rsidRPr="00C16A69" w:rsidR="00627527" w:rsidP="00BE565C" w:rsidRDefault="00627527" w14:paraId="768840E0" w14:textId="7AF9EDD8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6800F3EF" w14:paraId="04142F0E" w14:textId="77777777">
        <w:tc>
          <w:tcPr>
            <w:tcW w:w="2753" w:type="dxa"/>
            <w:tcMar/>
          </w:tcPr>
          <w:p w:rsidRPr="00BA71A2" w:rsidR="00627527" w:rsidP="00BE565C" w:rsidRDefault="00627527" w14:paraId="4A9A85DC" w14:textId="1B8E8AE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  <w:tcMar/>
          </w:tcPr>
          <w:p w:rsidRPr="00A83010" w:rsidR="00627527" w:rsidP="00BE565C" w:rsidRDefault="00A83010" w14:paraId="2BA2F5A4" w14:textId="5C733AC9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i/>
                <w:sz w:val="16"/>
                <w:szCs w:val="16"/>
              </w:rPr>
              <w:t>v</w:t>
            </w:r>
            <w:r w:rsidRPr="00A83010">
              <w:rPr>
                <w:rFonts w:ascii="Verdana" w:hAnsi="Verdana" w:eastAsia="Times New Roman" w:cs="Arial"/>
                <w:i/>
                <w:sz w:val="16"/>
                <w:szCs w:val="16"/>
              </w:rPr>
              <w:t>acant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25B66068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Mar/>
          </w:tcPr>
          <w:p w:rsidRPr="00BA71A2" w:rsidR="00627527" w:rsidP="00BE565C" w:rsidRDefault="00627527" w14:paraId="609D48BA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Mar/>
          </w:tcPr>
          <w:p w:rsidRPr="00BA71A2" w:rsidR="00627527" w:rsidP="00BE565C" w:rsidRDefault="00627527" w14:paraId="367365C6" w14:textId="297F8DE4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6800F3EF" w14:paraId="2513F925" w14:textId="77777777">
        <w:tc>
          <w:tcPr>
            <w:tcW w:w="2753" w:type="dxa"/>
            <w:tcMar/>
          </w:tcPr>
          <w:p w:rsidRPr="00BA71A2" w:rsidR="00627527" w:rsidP="00BE565C" w:rsidRDefault="00627527" w14:paraId="155DE290" w14:textId="5DF7E16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ounseling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  <w:tcMar/>
          </w:tcPr>
          <w:p w:rsidRPr="00BA71A2" w:rsidR="00627527" w:rsidP="00BE565C" w:rsidRDefault="00A178BA" w14:paraId="4206F090" w14:textId="73D57E8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Yi P</w:t>
            </w:r>
            <w:r w:rsidR="00627527">
              <w:rPr>
                <w:rFonts w:ascii="Verdana" w:hAnsi="Verdana" w:eastAsia="Times New Roman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1F47A187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Mar/>
          </w:tcPr>
          <w:p w:rsidRPr="00BA71A2" w:rsidR="00627527" w:rsidP="00BE565C" w:rsidRDefault="00627527" w14:paraId="1A0C6A06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  <w:tcMar/>
          </w:tcPr>
          <w:p w:rsidRPr="00BA71A2" w:rsidR="00627527" w:rsidP="00BE565C" w:rsidRDefault="0004662F" w14:paraId="28B0E37D" w14:textId="4157356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Cynthia Alvarado</w:t>
            </w:r>
          </w:p>
        </w:tc>
      </w:tr>
      <w:tr w:rsidRPr="00BA71A2" w:rsidR="00627527" w:rsidTr="6800F3EF" w14:paraId="67B3923A" w14:textId="77777777">
        <w:tc>
          <w:tcPr>
            <w:tcW w:w="2753" w:type="dxa"/>
            <w:tcMar/>
          </w:tcPr>
          <w:p w:rsidRPr="00BA71A2" w:rsidR="00627527" w:rsidP="009A5B06" w:rsidRDefault="00627527" w14:paraId="0A49C5E7" w14:textId="3C4F1A3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Science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  <w:tcMar/>
          </w:tcPr>
          <w:p w:rsidRPr="00BA71A2" w:rsidR="00627527" w:rsidP="00BE565C" w:rsidRDefault="00627527" w14:paraId="08DF9526" w14:textId="694AB23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046987D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Mar/>
          </w:tcPr>
          <w:p w:rsidRPr="00BA71A2" w:rsidR="00627527" w:rsidP="00BE565C" w:rsidRDefault="00627527" w14:paraId="5F8DA71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  <w:tcMar/>
          </w:tcPr>
          <w:p w:rsidRPr="00BA71A2" w:rsidR="00627527" w:rsidP="00BE565C" w:rsidRDefault="00A859F1" w14:paraId="2FBFAF44" w14:textId="39CAC21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Besikof</w:t>
            </w:r>
            <w:proofErr w:type="spellEnd"/>
          </w:p>
        </w:tc>
      </w:tr>
      <w:tr w:rsidRPr="00BA71A2" w:rsidR="00627527" w:rsidTr="6800F3EF" w14:paraId="7F421B2E" w14:textId="77777777">
        <w:tc>
          <w:tcPr>
            <w:tcW w:w="2753" w:type="dxa"/>
            <w:tcMar/>
          </w:tcPr>
          <w:p w:rsidRPr="00BA71A2" w:rsidR="00627527" w:rsidP="009A5B06" w:rsidRDefault="00627527" w14:paraId="6EFDA2B2" w14:textId="2876512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  <w:tcMar/>
          </w:tcPr>
          <w:p w:rsidRPr="00651F30" w:rsidR="00627527" w:rsidP="00651F30" w:rsidRDefault="00627527" w14:paraId="1B5198DA" w14:textId="5ECD6460">
            <w:pPr>
              <w:rPr>
                <w:rFonts w:ascii="Verdana" w:hAnsi="Verdana" w:eastAsia="Times New Roman" w:cs="Times New Roman"/>
                <w:sz w:val="16"/>
                <w:szCs w:val="16"/>
              </w:rPr>
            </w:pP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24619134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tcMar/>
          </w:tcPr>
          <w:p w:rsidRPr="00BA71A2" w:rsidR="00627527" w:rsidP="00BE565C" w:rsidRDefault="00627527" w14:paraId="4E0C3F9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Pr="00A83010" w:rsidR="00627527" w:rsidP="00BE565C" w:rsidRDefault="00A83010" w14:paraId="18CCAE29" w14:textId="200293C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A83010">
              <w:rPr>
                <w:rFonts w:ascii="Verdana" w:hAnsi="Verdana" w:eastAsia="Times New Roman" w:cs="Arial"/>
                <w:sz w:val="16"/>
                <w:szCs w:val="16"/>
              </w:rPr>
              <w:t>Emilio Cruz</w:t>
            </w:r>
          </w:p>
        </w:tc>
      </w:tr>
    </w:tbl>
    <w:p w:rsidRPr="00607B1B" w:rsidR="00607B1B" w:rsidP="003652A0" w:rsidRDefault="00607B1B" w14:paraId="5FD2F5C8" w14:textId="77777777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:rsidTr="28D97146" w14:paraId="32286E9E" w14:textId="77777777">
        <w:trPr>
          <w:trHeight w:val="117"/>
        </w:trPr>
        <w:tc>
          <w:tcPr>
            <w:tcW w:w="514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2072705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614CC95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59D4111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P="001C7C1B" w:rsidRDefault="001C7C1B" w14:paraId="37A0E2C5" w14:textId="77777777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:rsidTr="28D97146" w14:paraId="2BC74D29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4286F1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2E3A1747" w14:textId="3FA992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059BBD70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42BF1F7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392717C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Tr="28D97146" w14:paraId="0BEBD0BE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D28F3F6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723EE52" w14:textId="70B3CF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87AA45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23FF94AB" w14:textId="66E901A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EF72FA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28D97146" w14:paraId="75A53B12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17E7F60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38D59BF2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P="2072B622" w:rsidRDefault="2072B622" w14:paraId="75CC57FF" w14:textId="360FF477">
            <w:pPr>
              <w:pStyle w:val="Default"/>
              <w:rPr>
                <w:sz w:val="17"/>
                <w:szCs w:val="17"/>
              </w:rPr>
            </w:pPr>
            <w:r w:rsidRPr="6800F3EF" w:rsidR="2072B622">
              <w:rPr>
                <w:sz w:val="17"/>
                <w:szCs w:val="17"/>
              </w:rPr>
              <w:t xml:space="preserve">From </w:t>
            </w:r>
            <w:r w:rsidRPr="6800F3EF" w:rsidR="232F9952">
              <w:rPr>
                <w:sz w:val="17"/>
                <w:szCs w:val="17"/>
              </w:rPr>
              <w:t>1</w:t>
            </w:r>
            <w:r w:rsidRPr="6800F3EF" w:rsidR="191710E7">
              <w:rPr>
                <w:sz w:val="17"/>
                <w:szCs w:val="17"/>
              </w:rPr>
              <w:t>2.6.20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F90BA3" w14:paraId="3B58BD9C" w14:textId="0631BD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66ED9C5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:rsidTr="28D97146" w14:paraId="251ADAAD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DD0FF8" w14:paraId="7C24118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E17277" w14:paraId="0EC1810D" w14:textId="4F14AE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P="2072B622" w:rsidRDefault="007B4938" w14:paraId="30807FE7" w14:textId="36A11442">
            <w:pPr>
              <w:pStyle w:val="Default"/>
              <w:rPr>
                <w:sz w:val="17"/>
                <w:szCs w:val="17"/>
              </w:rPr>
            </w:pPr>
            <w:r w:rsidRPr="28D97146" w:rsidR="78B6EF8B">
              <w:rPr>
                <w:sz w:val="17"/>
                <w:szCs w:val="17"/>
              </w:rPr>
              <w:t>Feedback on Meta from Chemistry department</w:t>
            </w:r>
            <w:r w:rsidRPr="28D97146" w:rsidR="7AEFF1B7">
              <w:rPr>
                <w:sz w:val="17"/>
                <w:szCs w:val="17"/>
              </w:rPr>
              <w:t xml:space="preserve">, Rudy on accreditation 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8D38F4" w14:paraId="4CB792E4" w14:textId="079D7109">
            <w:pPr>
              <w:pStyle w:val="Default"/>
              <w:rPr>
                <w:sz w:val="17"/>
                <w:szCs w:val="17"/>
              </w:rPr>
            </w:pPr>
            <w:r w:rsidRPr="6800F3EF" w:rsidR="6897E3F5">
              <w:rPr>
                <w:sz w:val="17"/>
                <w:szCs w:val="17"/>
              </w:rPr>
              <w:t>11:10-11:</w:t>
            </w:r>
            <w:r w:rsidRPr="6800F3EF" w:rsidR="2AFF2C01">
              <w:rPr>
                <w:sz w:val="17"/>
                <w:szCs w:val="17"/>
              </w:rPr>
              <w:t>15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DD0FF8" w14:paraId="398B03BA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6800F3EF" w:rsidTr="28D97146" w14:paraId="644B9BF0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800F3EF" w:rsidP="6800F3EF" w:rsidRDefault="6800F3EF" w14:paraId="230D1DE0" w14:textId="0390648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8389AFB" w:rsidP="6800F3EF" w:rsidRDefault="58389AFB" w14:paraId="04626E00" w14:textId="069FA052">
            <w:pPr>
              <w:pStyle w:val="Default"/>
              <w:rPr>
                <w:sz w:val="17"/>
                <w:szCs w:val="17"/>
              </w:rPr>
            </w:pPr>
            <w:r w:rsidRPr="6800F3EF" w:rsidR="58389AFB">
              <w:rPr>
                <w:sz w:val="17"/>
                <w:szCs w:val="17"/>
              </w:rPr>
              <w:t>CPR update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8389AFB" w:rsidP="6800F3EF" w:rsidRDefault="58389AFB" w14:paraId="01946742" w14:textId="468CD933">
            <w:pPr>
              <w:pStyle w:val="Default"/>
              <w:rPr>
                <w:sz w:val="17"/>
                <w:szCs w:val="17"/>
              </w:rPr>
            </w:pPr>
            <w:r w:rsidRPr="21CB3CC0" w:rsidR="58389AFB">
              <w:rPr>
                <w:sz w:val="17"/>
                <w:szCs w:val="17"/>
              </w:rPr>
              <w:t xml:space="preserve">Departments in CPR Fall 2019, </w:t>
            </w:r>
            <w:r w:rsidRPr="21CB3CC0" w:rsidR="19C19560">
              <w:rPr>
                <w:sz w:val="17"/>
                <w:szCs w:val="17"/>
              </w:rPr>
              <w:t xml:space="preserve">assessment validation (see </w:t>
            </w:r>
            <w:r w:rsidRPr="21CB3CC0" w:rsidR="18DC5082">
              <w:rPr>
                <w:sz w:val="17"/>
                <w:szCs w:val="17"/>
              </w:rPr>
              <w:t xml:space="preserve">CPR </w:t>
            </w:r>
            <w:r w:rsidRPr="21CB3CC0" w:rsidR="18DC5082">
              <w:rPr>
                <w:sz w:val="17"/>
                <w:szCs w:val="17"/>
              </w:rPr>
              <w:t>assessment</w:t>
            </w:r>
            <w:r w:rsidRPr="21CB3CC0" w:rsidR="18DC5082">
              <w:rPr>
                <w:sz w:val="17"/>
                <w:szCs w:val="17"/>
              </w:rPr>
              <w:t xml:space="preserve"> summary doc)</w:t>
            </w:r>
          </w:p>
          <w:p w:rsidR="6800F3EF" w:rsidP="6800F3EF" w:rsidRDefault="6800F3EF" w14:paraId="4130D59D" w14:textId="47912475">
            <w:pPr>
              <w:pStyle w:val="Default"/>
              <w:rPr>
                <w:sz w:val="17"/>
                <w:szCs w:val="17"/>
              </w:rPr>
            </w:pPr>
          </w:p>
          <w:p w:rsidR="18DC5082" w:rsidP="6800F3EF" w:rsidRDefault="18DC5082" w14:paraId="645E4A32" w14:textId="45F426D2">
            <w:pPr>
              <w:pStyle w:val="Default"/>
              <w:rPr>
                <w:sz w:val="17"/>
                <w:szCs w:val="17"/>
              </w:rPr>
            </w:pPr>
            <w:r w:rsidRPr="6800F3EF" w:rsidR="18DC5082">
              <w:rPr>
                <w:sz w:val="17"/>
                <w:szCs w:val="17"/>
              </w:rPr>
              <w:t>Intent is to have Improvement Plans for all departments not validated</w:t>
            </w:r>
            <w:r w:rsidRPr="6800F3EF" w:rsidR="7137C4F7">
              <w:rPr>
                <w:sz w:val="17"/>
                <w:szCs w:val="17"/>
              </w:rPr>
              <w:t xml:space="preserve">. Coordinators will follow up with departments that still need plans or have </w:t>
            </w:r>
            <w:proofErr w:type="gramStart"/>
            <w:r w:rsidRPr="6800F3EF" w:rsidR="7137C4F7">
              <w:rPr>
                <w:sz w:val="17"/>
                <w:szCs w:val="17"/>
              </w:rPr>
              <w:t>other</w:t>
            </w:r>
            <w:proofErr w:type="gramEnd"/>
            <w:r w:rsidRPr="6800F3EF" w:rsidR="7137C4F7">
              <w:rPr>
                <w:sz w:val="17"/>
                <w:szCs w:val="17"/>
              </w:rPr>
              <w:t xml:space="preserve"> concerns 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BC37725" w:rsidP="6800F3EF" w:rsidRDefault="0BC37725" w14:paraId="4E9A115D" w14:textId="04AC4164">
            <w:pPr>
              <w:pStyle w:val="Default"/>
              <w:rPr>
                <w:sz w:val="17"/>
                <w:szCs w:val="17"/>
              </w:rPr>
            </w:pPr>
            <w:r w:rsidRPr="6800F3EF" w:rsidR="0BC37725">
              <w:rPr>
                <w:sz w:val="17"/>
                <w:szCs w:val="17"/>
              </w:rPr>
              <w:t>11:15-11:25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6800F3EF" w:rsidP="6800F3EF" w:rsidRDefault="6800F3EF" w14:paraId="3D0EFB56" w14:textId="00176ACE">
            <w:pPr>
              <w:pStyle w:val="Default"/>
              <w:rPr>
                <w:sz w:val="17"/>
                <w:szCs w:val="17"/>
              </w:rPr>
            </w:pPr>
          </w:p>
        </w:tc>
      </w:tr>
      <w:tr w:rsidR="2072B622" w:rsidTr="28D97146" w14:paraId="4B395E31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584593F1" w14:textId="4430ECA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007B4938" w14:paraId="53E97BEB" w14:textId="74C41A8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Recommendation 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6800F3EF" w:rsidRDefault="007B4938" w14:paraId="6E56CC94" w14:textId="77777777" w14:noSpellErr="1">
            <w:pPr>
              <w:pStyle w:val="Default"/>
              <w:rPr>
                <w:sz w:val="20"/>
                <w:szCs w:val="20"/>
              </w:rPr>
            </w:pPr>
            <w:r w:rsidRPr="6800F3EF" w:rsidR="232F9952">
              <w:rPr>
                <w:sz w:val="20"/>
                <w:szCs w:val="20"/>
              </w:rPr>
              <w:t xml:space="preserve">Draft: </w:t>
            </w:r>
          </w:p>
          <w:p w:rsidR="00A14ED2" w:rsidP="28D97146" w:rsidRDefault="00A14ED2" w14:paraId="2B14AE5F" w14:textId="0DF83B95">
            <w:pPr>
              <w:pStyle w:val="Default"/>
              <w:ind w:left="0"/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</w:pPr>
            <w:r w:rsidRPr="28D97146" w:rsidR="7C594213"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  <w:t xml:space="preserve">In order to promote faculty </w:t>
            </w:r>
            <w:r w:rsidRPr="28D97146" w:rsidR="2A52D1C8"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  <w:t xml:space="preserve">and classified staff </w:t>
            </w:r>
            <w:r w:rsidRPr="28D97146" w:rsidR="7C594213"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  <w:t>autonomy and sustainability of completing assessment work, the Learning Assessment Committee has established the following guidelines, which are intended to encourage employees to take ownership of their department’s/unit’s work</w:t>
            </w:r>
          </w:p>
          <w:p w:rsidR="00A14ED2" w:rsidP="6800F3EF" w:rsidRDefault="00A14ED2" w14:paraId="79B44335" w14:textId="71CC1D84">
            <w:pPr>
              <w:ind w:left="360"/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</w:pPr>
            <w:r w:rsidRPr="6800F3EF" w:rsidR="7C594213"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  <w:t xml:space="preserve">1. Emphasize using available training materials as a first step </w:t>
            </w:r>
            <w:r>
              <w:br/>
            </w:r>
            <w:r w:rsidRPr="6800F3EF" w:rsidR="7C594213"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  <w:t xml:space="preserve"> </w:t>
            </w:r>
            <w:r w:rsidRPr="6800F3EF" w:rsidR="7C594213"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  <w:t xml:space="preserve">2. Encourage folks to contact their LAC representative with intermediate/advanced questions about assessment </w:t>
            </w:r>
            <w:r>
              <w:br/>
            </w:r>
            <w:r w:rsidRPr="6800F3EF" w:rsidR="7C594213"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  <w:t xml:space="preserve"> </w:t>
            </w:r>
            <w:r w:rsidRPr="6800F3EF" w:rsidR="7C594213">
              <w:rPr>
                <w:rFonts w:ascii="Helvetica Neue" w:hAnsi="Helvetica Neue" w:eastAsia="Helvetica Neue" w:cs="Helvetica Neue"/>
                <w:b w:val="1"/>
                <w:bCs w:val="1"/>
                <w:i w:val="0"/>
                <w:iCs w:val="0"/>
                <w:noProof w:val="0"/>
                <w:color w:val="454545"/>
                <w:sz w:val="20"/>
                <w:szCs w:val="20"/>
                <w:lang w:val="en-US"/>
              </w:rPr>
              <w:t>3. Encourage asking Assessment Coordinator(s) intermediate/advanced questions about assessment, reports (APR, CPR, assessment plans, etc.), or to hold departmental trainings on intermediate/advanced topics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4531EFAC" w14:textId="7FC4298D">
            <w:pPr>
              <w:pStyle w:val="Default"/>
              <w:rPr>
                <w:sz w:val="17"/>
                <w:szCs w:val="17"/>
              </w:rPr>
            </w:pPr>
            <w:r w:rsidRPr="6800F3EF" w:rsidR="2072B622">
              <w:rPr>
                <w:sz w:val="17"/>
                <w:szCs w:val="17"/>
              </w:rPr>
              <w:t>11:</w:t>
            </w:r>
            <w:r w:rsidRPr="6800F3EF" w:rsidR="31D77785">
              <w:rPr>
                <w:sz w:val="17"/>
                <w:szCs w:val="17"/>
              </w:rPr>
              <w:t>25</w:t>
            </w:r>
            <w:r w:rsidRPr="6800F3EF" w:rsidR="2072B622">
              <w:rPr>
                <w:sz w:val="17"/>
                <w:szCs w:val="17"/>
              </w:rPr>
              <w:t>-11:</w:t>
            </w:r>
            <w:r w:rsidRPr="6800F3EF" w:rsidR="7B6D19EB">
              <w:rPr>
                <w:sz w:val="17"/>
                <w:szCs w:val="17"/>
              </w:rPr>
              <w:t>30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5D4DBE3E" w14:textId="21E2F223">
            <w:pPr>
              <w:pStyle w:val="Default"/>
              <w:rPr>
                <w:sz w:val="17"/>
                <w:szCs w:val="17"/>
              </w:rPr>
            </w:pPr>
          </w:p>
        </w:tc>
      </w:tr>
      <w:tr w:rsidR="00A12319" w:rsidTr="28D97146" w14:paraId="4A400EC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A12319" w14:paraId="4197733B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6800F3EF" w:rsidRDefault="007B4938" w14:noSpellErr="1" w14:paraId="6CA075CF" w14:textId="3E147BBF">
            <w:pPr>
              <w:pStyle w:val="Default"/>
              <w:rPr>
                <w:sz w:val="17"/>
                <w:szCs w:val="17"/>
              </w:rPr>
            </w:pPr>
            <w:r w:rsidRPr="6800F3EF" w:rsidR="3368A152">
              <w:rPr>
                <w:sz w:val="17"/>
                <w:szCs w:val="17"/>
              </w:rPr>
              <w:t>ILO rubrics</w:t>
            </w:r>
          </w:p>
          <w:p w:rsidR="00A12319" w:rsidP="2072B622" w:rsidRDefault="007B4938" w14:paraId="6A2C6C48" w14:textId="60034AD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00A12319" w14:paraId="5BF0DB8E" w14:textId="44B4099C">
            <w:pPr>
              <w:pStyle w:val="Default"/>
            </w:pPr>
            <w:r w:rsidRPr="6800F3EF" w:rsidR="239B2591">
              <w:rPr>
                <w:noProof w:val="0"/>
                <w:lang w:val="en-US"/>
              </w:rPr>
              <w:t xml:space="preserve">ILO 1 </w:t>
            </w:r>
          </w:p>
          <w:p w:rsidR="00A12319" w:rsidP="2072B622" w:rsidRDefault="00A12319" w14:paraId="32C3957E" w14:textId="52A903A2">
            <w:pPr>
              <w:pStyle w:val="Default"/>
            </w:pPr>
            <w:hyperlink r:id="Re4fd74d0018c498c">
              <w:r w:rsidRPr="6800F3EF" w:rsidR="368696D4">
                <w:rPr>
                  <w:rStyle w:val="Hyperlink"/>
                  <w:noProof w:val="0"/>
                  <w:lang w:val="en-US"/>
                </w:rPr>
                <w:t>https://laney.edu/assessment/rubrics-for-assessing-ilo-1/</w:t>
              </w:r>
            </w:hyperlink>
          </w:p>
          <w:p w:rsidR="00A12319" w:rsidP="6800F3EF" w:rsidRDefault="00A12319" w14:paraId="2ECC2BFD" w14:textId="780E2867">
            <w:pPr>
              <w:pStyle w:val="Default"/>
              <w:rPr>
                <w:noProof w:val="0"/>
                <w:lang w:val="en-US"/>
              </w:rPr>
            </w:pPr>
          </w:p>
          <w:p w:rsidR="00A12319" w:rsidP="6800F3EF" w:rsidRDefault="00A12319" w14:paraId="6FDA9B17" w14:textId="3C0E867D">
            <w:pPr>
              <w:pStyle w:val="Default"/>
              <w:rPr>
                <w:noProof w:val="0"/>
                <w:lang w:val="en-US"/>
              </w:rPr>
            </w:pPr>
            <w:r w:rsidRPr="6800F3EF" w:rsidR="5E4DB086">
              <w:rPr>
                <w:noProof w:val="0"/>
                <w:lang w:val="en-US"/>
              </w:rPr>
              <w:t>ILO 2</w:t>
            </w:r>
          </w:p>
          <w:p w:rsidR="00A12319" w:rsidP="2072B622" w:rsidRDefault="00A12319" w14:paraId="03A0050E" w14:textId="655C2B71">
            <w:pPr>
              <w:pStyle w:val="Default"/>
            </w:pPr>
            <w:hyperlink r:id="Rfab8a9c8d94c4a2a">
              <w:r w:rsidRPr="6800F3EF" w:rsidR="368696D4">
                <w:rPr>
                  <w:rStyle w:val="Hyperlink"/>
                  <w:noProof w:val="0"/>
                  <w:lang w:val="en-US"/>
                </w:rPr>
                <w:t>https://thinkingatlaney.wordpress.com</w:t>
              </w:r>
            </w:hyperlink>
          </w:p>
          <w:p w:rsidR="00A12319" w:rsidP="6800F3EF" w:rsidRDefault="00A12319" w14:paraId="3C62797C" w14:textId="24A0A923">
            <w:pPr>
              <w:pStyle w:val="Default"/>
              <w:rPr>
                <w:noProof w:val="0"/>
                <w:lang w:val="en-US"/>
              </w:rPr>
            </w:pPr>
          </w:p>
          <w:p w:rsidR="00A12319" w:rsidP="6800F3EF" w:rsidRDefault="00A12319" w14:paraId="1F3FF62E" w14:textId="1D039989">
            <w:pPr>
              <w:pStyle w:val="Default"/>
              <w:rPr>
                <w:noProof w:val="0"/>
                <w:lang w:val="en-US"/>
              </w:rPr>
            </w:pPr>
            <w:r w:rsidRPr="6800F3EF" w:rsidR="04ED7272">
              <w:rPr>
                <w:noProof w:val="0"/>
                <w:lang w:val="en-US"/>
              </w:rPr>
              <w:t>ILO 3</w:t>
            </w:r>
          </w:p>
          <w:p w:rsidR="00A12319" w:rsidP="6800F3EF" w:rsidRDefault="00A12319" w14:paraId="790813BD" w14:textId="383262B2">
            <w:pPr>
              <w:pStyle w:val="Default"/>
              <w:rPr>
                <w:noProof w:val="0"/>
                <w:lang w:val="en-US"/>
              </w:rPr>
            </w:pPr>
            <w:r w:rsidRPr="6800F3EF" w:rsidR="04ED7272">
              <w:rPr>
                <w:noProof w:val="0"/>
                <w:lang w:val="en-US"/>
              </w:rPr>
              <w:t>?</w:t>
            </w:r>
          </w:p>
          <w:p w:rsidR="00A12319" w:rsidP="6800F3EF" w:rsidRDefault="00A12319" w14:paraId="2571DB60" w14:textId="1E43AE19">
            <w:pPr>
              <w:pStyle w:val="Default"/>
              <w:rPr>
                <w:noProof w:val="0"/>
                <w:lang w:val="en-US"/>
              </w:rPr>
            </w:pPr>
          </w:p>
          <w:p w:rsidR="00A12319" w:rsidP="6800F3EF" w:rsidRDefault="00A12319" w14:paraId="6ED7C0D2" w14:textId="77EE57D0">
            <w:pPr>
              <w:pStyle w:val="Default"/>
              <w:rPr>
                <w:noProof w:val="0"/>
                <w:lang w:val="en-US"/>
              </w:rPr>
            </w:pPr>
            <w:r w:rsidRPr="6800F3EF" w:rsidR="04ED7272">
              <w:rPr>
                <w:noProof w:val="0"/>
                <w:lang w:val="en-US"/>
              </w:rPr>
              <w:t>ILO 4</w:t>
            </w:r>
          </w:p>
          <w:p w:rsidR="00A12319" w:rsidP="6800F3EF" w:rsidRDefault="00A12319" w14:paraId="2A505899" w14:textId="3637E8F4">
            <w:pPr>
              <w:pStyle w:val="Default"/>
              <w:rPr>
                <w:noProof w:val="0"/>
                <w:lang w:val="en-US"/>
              </w:rPr>
            </w:pPr>
            <w:r w:rsidRPr="6800F3EF" w:rsidR="04ED7272">
              <w:rPr>
                <w:noProof w:val="0"/>
                <w:lang w:val="en-US"/>
              </w:rPr>
              <w:t>Current common rubric and surveys</w:t>
            </w:r>
          </w:p>
          <w:p w:rsidR="00A12319" w:rsidP="6800F3EF" w:rsidRDefault="00A12319" w14:paraId="6D3CC660" w14:textId="6F586EF0">
            <w:pPr>
              <w:pStyle w:val="Default"/>
              <w:rPr>
                <w:noProof w:val="0"/>
                <w:lang w:val="en-US"/>
              </w:rPr>
            </w:pPr>
            <w:r w:rsidRPr="6800F3EF" w:rsidR="04ED7272">
              <w:rPr>
                <w:noProof w:val="0"/>
                <w:lang w:val="en-US"/>
              </w:rPr>
              <w:t>(add supports current ideas)</w:t>
            </w:r>
          </w:p>
          <w:p w:rsidR="00A12319" w:rsidP="6800F3EF" w:rsidRDefault="00A12319" w14:paraId="39732EB7" w14:textId="79D0A8CA">
            <w:pPr>
              <w:pStyle w:val="Default"/>
              <w:rPr>
                <w:noProof w:val="0"/>
                <w:lang w:val="en-US"/>
              </w:rPr>
            </w:pPr>
          </w:p>
          <w:p w:rsidR="00A12319" w:rsidP="6800F3EF" w:rsidRDefault="00A12319" w14:paraId="192987CB" w14:textId="3CAFC8D9">
            <w:pPr>
              <w:pStyle w:val="Default"/>
              <w:rPr>
                <w:noProof w:val="0"/>
                <w:lang w:val="en-US"/>
              </w:rPr>
            </w:pPr>
            <w:r w:rsidRPr="6800F3EF" w:rsidR="04ED7272">
              <w:rPr>
                <w:noProof w:val="0"/>
                <w:lang w:val="en-US"/>
              </w:rPr>
              <w:t>ILO 5</w:t>
            </w:r>
          </w:p>
          <w:p w:rsidR="00A12319" w:rsidP="6800F3EF" w:rsidRDefault="00A12319" w14:paraId="74F46F01" w14:textId="4ECDEA3C">
            <w:pPr>
              <w:pStyle w:val="Default"/>
              <w:rPr>
                <w:noProof w:val="0"/>
                <w:lang w:val="en-US"/>
              </w:rPr>
            </w:pPr>
            <w:r w:rsidRPr="6800F3EF" w:rsidR="04ED7272">
              <w:rPr>
                <w:noProof w:val="0"/>
                <w:lang w:val="en-US"/>
              </w:rPr>
              <w:t>?</w:t>
            </w:r>
          </w:p>
          <w:p w:rsidR="00A12319" w:rsidP="6800F3EF" w:rsidRDefault="00A12319" w14:paraId="543EBE88" w14:textId="4E5E31B2">
            <w:pPr>
              <w:pStyle w:val="Default"/>
              <w:rPr>
                <w:noProof w:val="0"/>
                <w:lang w:val="en-US"/>
              </w:rPr>
            </w:pPr>
          </w:p>
          <w:p w:rsidR="00A12319" w:rsidP="6800F3EF" w:rsidRDefault="00A12319" w14:paraId="7A031044" w14:textId="1C64805C">
            <w:pPr>
              <w:pStyle w:val="Default"/>
              <w:rPr>
                <w:noProof w:val="0"/>
                <w:lang w:val="en-US"/>
              </w:rPr>
            </w:pPr>
          </w:p>
          <w:p w:rsidR="00A12319" w:rsidP="6800F3EF" w:rsidRDefault="00A12319" w14:paraId="4542FBCB" w14:textId="4B9CF5EF">
            <w:pPr>
              <w:pStyle w:val="Default"/>
              <w:rPr>
                <w:noProof w:val="0"/>
                <w:lang w:val="en-US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2072B622" w14:paraId="35C27B54" w14:textId="38656DDF">
            <w:pPr>
              <w:pStyle w:val="Default"/>
              <w:rPr>
                <w:sz w:val="17"/>
                <w:szCs w:val="17"/>
              </w:rPr>
            </w:pPr>
            <w:r w:rsidRPr="6800F3EF" w:rsidR="2072B622">
              <w:rPr>
                <w:sz w:val="17"/>
                <w:szCs w:val="17"/>
              </w:rPr>
              <w:t>11:</w:t>
            </w:r>
            <w:r w:rsidRPr="6800F3EF" w:rsidR="75182C7C">
              <w:rPr>
                <w:sz w:val="17"/>
                <w:szCs w:val="17"/>
              </w:rPr>
              <w:t>30</w:t>
            </w:r>
            <w:r w:rsidRPr="6800F3EF" w:rsidR="2072B622">
              <w:rPr>
                <w:sz w:val="17"/>
                <w:szCs w:val="17"/>
              </w:rPr>
              <w:t>-12:30</w:t>
            </w:r>
            <w:bookmarkStart w:name="_GoBack" w:id="0"/>
            <w:bookmarkEnd w:id="0"/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A12319" w14:paraId="0102248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28D97146" w14:paraId="086C6760" w14:textId="77777777">
        <w:trPr>
          <w:trHeight w:val="253"/>
        </w:trPr>
        <w:tc>
          <w:tcPr>
            <w:tcW w:w="14598" w:type="dxa"/>
            <w:gridSpan w:val="5"/>
            <w:tcMar/>
          </w:tcPr>
          <w:p w:rsidR="001C7C1B" w:rsidRDefault="001C7C1B" w14:paraId="6969519A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:rsidRPr="006D4AC4" w:rsidR="006D4AC4" w:rsidTr="28D97146" w14:paraId="7555BE76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  <w:tcMar/>
          </w:tcPr>
          <w:p w:rsidRPr="006D4AC4" w:rsidR="006D4AC4" w:rsidP="00C8129C" w:rsidRDefault="006D4AC4" w14:paraId="7A46486F" w14:textId="77777777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:rsidTr="28D97146" w14:paraId="53444CAC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  <w:tcMar/>
          </w:tcPr>
          <w:p w:rsidRPr="00192B0B" w:rsidR="006D4AC4" w:rsidP="00C8129C" w:rsidRDefault="006D4AC4" w14:paraId="7578A3AF" w14:textId="594F0EFA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Pr="00192B0B" w:rsidR="00525D34">
              <w:rPr>
                <w:color w:val="FF0000"/>
                <w:sz w:val="18"/>
                <w:szCs w:val="18"/>
              </w:rPr>
              <w:t>BIOL, BUS+, CHEM+, COSM, DANCE, MUSIC, THART, CULIN, ECT, EET</w:t>
            </w:r>
            <w:r w:rsidRPr="00192B0B" w:rsidR="000B1625">
              <w:rPr>
                <w:color w:val="FF0000"/>
                <w:sz w:val="18"/>
                <w:szCs w:val="18"/>
              </w:rPr>
              <w:t>)</w:t>
            </w:r>
            <w:r w:rsidRPr="00192B0B" w:rsidR="00525D34">
              <w:rPr>
                <w:color w:val="FF0000"/>
                <w:sz w:val="18"/>
                <w:szCs w:val="18"/>
              </w:rPr>
              <w:t xml:space="preserve"> </w:t>
            </w:r>
          </w:p>
          <w:p w:rsidRPr="00A12319" w:rsidR="006D4AC4" w:rsidP="00C8129C" w:rsidRDefault="006D4AC4" w14:paraId="302C634A" w14:textId="77777777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2.  Balance work on META with work on the many other aspects of assessment. </w:t>
            </w:r>
          </w:p>
          <w:p w:rsidRPr="00A12319" w:rsidR="006D4AC4" w:rsidP="6800F3EF" w:rsidRDefault="006D4AC4" w14:paraId="31E9EB52" w14:textId="77777777" w14:noSpellErr="1">
            <w:pPr>
              <w:pStyle w:val="Default"/>
              <w:rPr>
                <w:i w:val="1"/>
                <w:iCs w:val="1"/>
                <w:color w:val="auto"/>
                <w:sz w:val="18"/>
                <w:szCs w:val="18"/>
              </w:rPr>
            </w:pPr>
            <w:r w:rsidRPr="6800F3EF" w:rsidR="006D4AC4">
              <w:rPr>
                <w:color w:val="auto"/>
                <w:sz w:val="18"/>
                <w:szCs w:val="18"/>
              </w:rPr>
              <w:t xml:space="preserve">3.  Improve administrative support. </w:t>
            </w:r>
          </w:p>
          <w:p w:rsidRPr="00192B0B" w:rsidR="006D4AC4" w:rsidP="6800F3EF" w:rsidRDefault="006D4AC4" w14:paraId="75F56FAB" w14:textId="77777777" w14:noSpellErr="1">
            <w:pPr>
              <w:pStyle w:val="Default"/>
              <w:rPr>
                <w:color w:val="FF0000" w:themeColor="text1"/>
                <w:sz w:val="18"/>
                <w:szCs w:val="18"/>
              </w:rPr>
            </w:pPr>
            <w:r w:rsidRPr="6800F3EF" w:rsidR="006D4AC4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:rsidRPr="00192B0B" w:rsidR="006D4AC4" w:rsidP="2072B622" w:rsidRDefault="2072B622" w14:paraId="63C9ECE1" w14:textId="77777777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:rsidRPr="00A12319" w:rsidR="006D4AC4" w:rsidP="00C8129C" w:rsidRDefault="006D4AC4" w14:paraId="54915405" w14:textId="77777777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Pr="00223DDA" w:rsidR="006D4AC4" w:rsidP="00C8129C" w:rsidRDefault="006D4AC4" w14:paraId="66512D50" w14:textId="77777777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:rsidR="008F6C8F" w:rsidRDefault="008F6C8F" w14:paraId="41C68CF7" w14:textId="77777777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00541A"/>
    <w:multiLevelType w:val="hybridMultilevel"/>
    <w:tmpl w:val="58CC0D32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3C6423"/>
    <w:rsid w:val="00407B7D"/>
    <w:rsid w:val="00465B36"/>
    <w:rsid w:val="00471AA6"/>
    <w:rsid w:val="00492D82"/>
    <w:rsid w:val="004C48F3"/>
    <w:rsid w:val="005241DF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B4938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2319"/>
    <w:rsid w:val="00A14ED2"/>
    <w:rsid w:val="00A178BA"/>
    <w:rsid w:val="00A3079A"/>
    <w:rsid w:val="00A4185C"/>
    <w:rsid w:val="00A43F42"/>
    <w:rsid w:val="00A55E62"/>
    <w:rsid w:val="00A83010"/>
    <w:rsid w:val="00A8409B"/>
    <w:rsid w:val="00A85011"/>
    <w:rsid w:val="00A859F1"/>
    <w:rsid w:val="00AA2E07"/>
    <w:rsid w:val="00AA7419"/>
    <w:rsid w:val="00AB6551"/>
    <w:rsid w:val="00AC5692"/>
    <w:rsid w:val="00BB32D8"/>
    <w:rsid w:val="00BD206E"/>
    <w:rsid w:val="00BE565C"/>
    <w:rsid w:val="00BE7E5E"/>
    <w:rsid w:val="00C13104"/>
    <w:rsid w:val="00C15089"/>
    <w:rsid w:val="00C16A69"/>
    <w:rsid w:val="00C61334"/>
    <w:rsid w:val="00C64F37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  <w:rsid w:val="02F165C2"/>
    <w:rsid w:val="0444AAB8"/>
    <w:rsid w:val="04ED7272"/>
    <w:rsid w:val="059114F0"/>
    <w:rsid w:val="06D837FB"/>
    <w:rsid w:val="0773EEC6"/>
    <w:rsid w:val="09BAADC4"/>
    <w:rsid w:val="0BC37725"/>
    <w:rsid w:val="0C0D705C"/>
    <w:rsid w:val="0F05C61F"/>
    <w:rsid w:val="18DC5082"/>
    <w:rsid w:val="191710E7"/>
    <w:rsid w:val="19C19560"/>
    <w:rsid w:val="2072B622"/>
    <w:rsid w:val="20BDB36C"/>
    <w:rsid w:val="21CB3CC0"/>
    <w:rsid w:val="232F9952"/>
    <w:rsid w:val="239B2591"/>
    <w:rsid w:val="26B991C8"/>
    <w:rsid w:val="287F5484"/>
    <w:rsid w:val="28A2A46E"/>
    <w:rsid w:val="28D97146"/>
    <w:rsid w:val="2A37D081"/>
    <w:rsid w:val="2A52D1C8"/>
    <w:rsid w:val="2AFF2C01"/>
    <w:rsid w:val="2D896260"/>
    <w:rsid w:val="31D77785"/>
    <w:rsid w:val="3367D15F"/>
    <w:rsid w:val="3368A152"/>
    <w:rsid w:val="33F1462A"/>
    <w:rsid w:val="349D900D"/>
    <w:rsid w:val="368696D4"/>
    <w:rsid w:val="3A7424C5"/>
    <w:rsid w:val="3AA7AC0A"/>
    <w:rsid w:val="3EE2408D"/>
    <w:rsid w:val="3F455EAC"/>
    <w:rsid w:val="40FD1F47"/>
    <w:rsid w:val="43B2E331"/>
    <w:rsid w:val="49C5654A"/>
    <w:rsid w:val="4E175844"/>
    <w:rsid w:val="51FFA8DC"/>
    <w:rsid w:val="58389AFB"/>
    <w:rsid w:val="5897FB40"/>
    <w:rsid w:val="5AA42067"/>
    <w:rsid w:val="5DB30DAB"/>
    <w:rsid w:val="5E4DB086"/>
    <w:rsid w:val="667AA314"/>
    <w:rsid w:val="6800F3EF"/>
    <w:rsid w:val="6811CC64"/>
    <w:rsid w:val="6897E3F5"/>
    <w:rsid w:val="6A114D60"/>
    <w:rsid w:val="6BC8F6AD"/>
    <w:rsid w:val="6DDA6C4D"/>
    <w:rsid w:val="7137C4F7"/>
    <w:rsid w:val="72E2AD78"/>
    <w:rsid w:val="75182C7C"/>
    <w:rsid w:val="7862C465"/>
    <w:rsid w:val="787A5499"/>
    <w:rsid w:val="78B6EF8B"/>
    <w:rsid w:val="79B6D9D4"/>
    <w:rsid w:val="7A7E5C90"/>
    <w:rsid w:val="7AEFF1B7"/>
    <w:rsid w:val="7B6D19EB"/>
    <w:rsid w:val="7C38AA16"/>
    <w:rsid w:val="7C5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laney.edu/assessment/rubrics-for-assessing-ilo-1/" TargetMode="External" Id="Re4fd74d0018c498c" /><Relationship Type="http://schemas.openxmlformats.org/officeDocument/2006/relationships/hyperlink" Target="https://thinkingatlaney.wordpress.com" TargetMode="External" Id="Rfab8a9c8d94c4a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Sisneros</dc:creator>
  <lastModifiedBy>Rebecca Bailey</lastModifiedBy>
  <revision>16</revision>
  <dcterms:created xsi:type="dcterms:W3CDTF">2019-09-03T00:52:00.0000000Z</dcterms:created>
  <dcterms:modified xsi:type="dcterms:W3CDTF">2020-02-07T19:56:32.4637979Z</dcterms:modified>
</coreProperties>
</file>