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2309028D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 xml:space="preserve">Committee </w:t>
      </w:r>
      <w:r w:rsidR="007F1B80" w:rsidRPr="00477D3E">
        <w:rPr>
          <w:b/>
          <w:color w:val="FF0000"/>
        </w:rPr>
        <w:t>RETREAT</w:t>
      </w:r>
      <w:r w:rsidR="007F1B80">
        <w:rPr>
          <w:b/>
        </w:rPr>
        <w:t xml:space="preserve"> </w:t>
      </w:r>
      <w:r w:rsidR="006B5FA4">
        <w:rPr>
          <w:b/>
        </w:rPr>
        <w:t>Agenda</w:t>
      </w:r>
    </w:p>
    <w:p w14:paraId="42E8D16C" w14:textId="6B412216" w:rsidR="003652A0" w:rsidRPr="003652A0" w:rsidRDefault="00AF4877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7F1B80">
        <w:rPr>
          <w:b/>
          <w:color w:val="FF0000"/>
        </w:rPr>
        <w:t>MAY 10</w:t>
      </w:r>
      <w:r w:rsidR="007F1B80" w:rsidRPr="007F1B80">
        <w:rPr>
          <w:b/>
          <w:color w:val="FF0000"/>
          <w:vertAlign w:val="superscript"/>
        </w:rPr>
        <w:t>TH</w:t>
      </w:r>
      <w:r w:rsidR="007F1B80">
        <w:rPr>
          <w:b/>
          <w:color w:val="FF0000"/>
        </w:rPr>
        <w:t xml:space="preserve">, 2019  </w:t>
      </w:r>
    </w:p>
    <w:p w14:paraId="3FD44399" w14:textId="4C9B8732" w:rsidR="000D08FF" w:rsidRDefault="00477D3E" w:rsidP="0074243C">
      <w:pPr>
        <w:pStyle w:val="Default"/>
        <w:jc w:val="center"/>
        <w:rPr>
          <w:b/>
        </w:rPr>
      </w:pPr>
      <w:r>
        <w:rPr>
          <w:b/>
          <w:color w:val="FF0000"/>
        </w:rPr>
        <w:t>12NOON – 3PM</w:t>
      </w:r>
      <w:r>
        <w:rPr>
          <w:b/>
        </w:rPr>
        <w:t xml:space="preserve"> </w:t>
      </w:r>
      <w:r w:rsidR="00FB4085">
        <w:rPr>
          <w:b/>
        </w:rPr>
        <w:t>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147949A7" w:rsidR="00862E5A" w:rsidRDefault="00F9667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0305EF79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52BDDBC1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Meryl Siegal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3BACF196" w:rsidR="00FF52D9" w:rsidRDefault="00FD4A1B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302" w:type="dxa"/>
        <w:tblInd w:w="93" w:type="dxa"/>
        <w:tblLook w:val="04A0" w:firstRow="1" w:lastRow="0" w:firstColumn="1" w:lastColumn="0" w:noHBand="0" w:noVBand="1"/>
      </w:tblPr>
      <w:tblGrid>
        <w:gridCol w:w="2512"/>
        <w:gridCol w:w="1235"/>
        <w:gridCol w:w="5785"/>
        <w:gridCol w:w="1890"/>
        <w:gridCol w:w="2880"/>
      </w:tblGrid>
      <w:tr w:rsidR="006E358D" w:rsidRPr="007A3D57" w14:paraId="39FDCE09" w14:textId="77777777" w:rsidTr="009F4A4E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3AB5" w14:textId="4B1088AC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196A" w14:textId="4E4D1C1D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EFFF" w14:textId="0781AFFE" w:rsidR="006E358D" w:rsidRDefault="006E358D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0E9C252F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TODAYS ACTION(S)</w:t>
            </w:r>
          </w:p>
        </w:tc>
      </w:tr>
      <w:tr w:rsidR="009D7E0A" w:rsidRPr="007A3D57" w14:paraId="60A4B15A" w14:textId="77777777" w:rsidTr="009F4A4E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0487A78B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664DF2F2" w:rsidR="009D7E0A" w:rsidRPr="00EF6341" w:rsidRDefault="007F1B80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12noon-12:05pm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E0A" w:rsidRPr="007A3D57" w14:paraId="69E79BAD" w14:textId="77777777" w:rsidTr="009F4A4E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0486026F" w:rsidR="007557D1" w:rsidRPr="00EF6341" w:rsidRDefault="007557D1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Approval of </w:t>
            </w:r>
            <w:r w:rsidR="004C4FE1">
              <w:rPr>
                <w:rFonts w:ascii="Arial" w:eastAsia="Times New Roman" w:hAnsi="Arial" w:cs="Arial"/>
                <w:sz w:val="20"/>
                <w:szCs w:val="20"/>
              </w:rPr>
              <w:t xml:space="preserve">Agenda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minutes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5768D641" w:rsidR="009D7E0A" w:rsidRPr="00EF6341" w:rsidRDefault="00036530" w:rsidP="007F1B80">
            <w:pPr>
              <w:tabs>
                <w:tab w:val="left" w:pos="247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D32000">
              <w:rPr>
                <w:rFonts w:ascii="Arial" w:eastAsia="Times New Roman" w:hAnsi="Arial" w:cs="Arial"/>
                <w:sz w:val="20"/>
                <w:szCs w:val="20"/>
              </w:rPr>
              <w:t xml:space="preserve">minutes </w:t>
            </w:r>
            <w:r w:rsidR="00814DC7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7F1B80">
              <w:rPr>
                <w:rFonts w:ascii="Arial" w:eastAsia="Times New Roman" w:hAnsi="Arial" w:cs="Arial"/>
                <w:sz w:val="20"/>
                <w:szCs w:val="20"/>
              </w:rPr>
              <w:t xml:space="preserve"> May 3, 2019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673D3AE2" w:rsidR="009D7E0A" w:rsidRPr="00EF6341" w:rsidRDefault="007F1B8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12:05-12:10pm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47BA38BF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1878" w:rsidRPr="007A3D57" w14:paraId="1202424A" w14:textId="77777777" w:rsidTr="009F4A4E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DF3AB" w14:textId="7C5A0C02" w:rsidR="008B1878" w:rsidRDefault="007F1B8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Approval of Curriculum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9BBB6" w14:textId="0B9774ED" w:rsidR="008B1878" w:rsidRPr="00EF6341" w:rsidRDefault="008B1878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33817" w14:textId="4FFC7AF7" w:rsidR="008B1878" w:rsidRDefault="007F1B8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12:10-12:30pm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BB7AD" w14:textId="77777777" w:rsidR="008B1878" w:rsidRDefault="008B187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24AB" w:rsidRPr="007A3D57" w14:paraId="6D0D0E9D" w14:textId="77777777" w:rsidTr="009F4A4E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F4906" w14:textId="5FB7F0CE" w:rsidR="009724AB" w:rsidRDefault="007F1B8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 DE Form and Rubric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634B" w14:textId="24DCE0F5" w:rsidR="009724AB" w:rsidRDefault="007F1B80" w:rsidP="007F1B80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Review/update DE Form to reflect updated T5 regulations.  Review/update Rubric to reflect T5 updates. Establish criteria for DE approval.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AEE3E" w14:textId="6BB0D061" w:rsidR="009724AB" w:rsidRDefault="007F1B8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12:30-1:30pm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28AA1" w14:textId="77777777" w:rsidR="009724AB" w:rsidRDefault="009724AB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1B80" w:rsidRPr="007A3D57" w14:paraId="0B183DC4" w14:textId="77777777" w:rsidTr="009F4A4E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5F2F1" w14:textId="59974525" w:rsidR="007F1B80" w:rsidRDefault="007F1B8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 of Goals/Create Goals for 19-20 AY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5F745" w14:textId="0669093A" w:rsidR="007F1B80" w:rsidRDefault="007F1B80" w:rsidP="007F1B80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 goals/survey results for accomplishments. Use data to inform goal creation for 19-20 AY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BE53C" w14:textId="2AC7B3EC" w:rsidR="007F1B80" w:rsidRDefault="007F1B8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1:30-2:30pm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62076" w14:textId="77777777" w:rsidR="007F1B80" w:rsidRDefault="007F1B8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1B80" w:rsidRPr="007A3D57" w14:paraId="5ED55CA0" w14:textId="77777777" w:rsidTr="009F4A4E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CDC25" w14:textId="07661D49" w:rsidR="007F1B80" w:rsidRDefault="007F1B8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 SLO Super Powers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552D" w14:textId="02FE2402" w:rsidR="007F1B80" w:rsidRDefault="007F1B80" w:rsidP="007F1B80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 SLO Super Powers to ensure relevancy.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E821A" w14:textId="56BFF430" w:rsidR="007F1B80" w:rsidRDefault="007F1B8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2:30-2:35pm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208B8" w14:textId="77777777" w:rsidR="007F1B80" w:rsidRDefault="007F1B8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1B80" w:rsidRPr="007A3D57" w14:paraId="6F567AD6" w14:textId="77777777" w:rsidTr="009F4A4E">
        <w:trPr>
          <w:trHeight w:val="30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E7C5" w14:textId="2D82AB1D" w:rsidR="007F1B80" w:rsidRDefault="007F1B80" w:rsidP="00BA4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Assessment Resolution Proposal</w:t>
            </w:r>
            <w:r w:rsidR="00BA4CE6">
              <w:rPr>
                <w:rFonts w:ascii="Arial" w:eastAsia="Times New Roman" w:hAnsi="Arial" w:cs="Arial"/>
                <w:sz w:val="20"/>
                <w:szCs w:val="20"/>
              </w:rPr>
              <w:t xml:space="preserve"> for Curriculum Committee vote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71F3F" w14:textId="2E02100B" w:rsidR="007F1B80" w:rsidRDefault="007F1B80" w:rsidP="007F1B80">
            <w:pPr>
              <w:tabs>
                <w:tab w:val="left" w:pos="16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Resolution Presentation from Learning Assessment Committee Co-Chairs (Rebecca Bailey and Heather Sisneros). Similar to Curriculum Committee Resolution stating curriculum will not be reviewed if the department does not have courses updated </w:t>
            </w:r>
            <w:r w:rsidR="00BA4CE6">
              <w:rPr>
                <w:rFonts w:ascii="Arial" w:eastAsia="Times New Roman" w:hAnsi="Arial" w:cs="Arial"/>
                <w:sz w:val="20"/>
                <w:szCs w:val="20"/>
              </w:rPr>
              <w:t xml:space="preserve">as outlined in Title 5, the Assessment Committee proposes the same resolution reflected for assessment work and ACCJC standards.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693F2" w14:textId="141C4471" w:rsidR="007F1B80" w:rsidRDefault="00BA4CE6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2:35-3pm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67F83" w14:textId="77777777" w:rsidR="007F1B80" w:rsidRDefault="007F1B8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4AEB" w:rsidRPr="00374AEB" w14:paraId="6F1C1ED6" w14:textId="77777777" w:rsidTr="009F4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80" w:type="dxa"/>
          <w:trHeight w:val="300"/>
        </w:trPr>
        <w:tc>
          <w:tcPr>
            <w:tcW w:w="2512" w:type="dxa"/>
            <w:shd w:val="clear" w:color="auto" w:fill="auto"/>
            <w:noWrap/>
            <w:hideMark/>
          </w:tcPr>
          <w:p w14:paraId="1ACFBE95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Laney Course Updating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ECF2B94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7675" w:type="dxa"/>
            <w:gridSpan w:val="2"/>
            <w:shd w:val="clear" w:color="auto" w:fill="auto"/>
            <w:noWrap/>
            <w:hideMark/>
          </w:tcPr>
          <w:p w14:paraId="5CC79140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008A Music History: Antiquity Through the Renaissance</w:t>
            </w:r>
          </w:p>
        </w:tc>
      </w:tr>
      <w:tr w:rsidR="00374AEB" w:rsidRPr="00374AEB" w14:paraId="5F0C8A2A" w14:textId="77777777" w:rsidTr="009F4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80" w:type="dxa"/>
          <w:trHeight w:val="300"/>
        </w:trPr>
        <w:tc>
          <w:tcPr>
            <w:tcW w:w="2512" w:type="dxa"/>
            <w:shd w:val="clear" w:color="auto" w:fill="auto"/>
            <w:noWrap/>
            <w:hideMark/>
          </w:tcPr>
          <w:p w14:paraId="24D7E8BC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Laney Course Updating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A084AD8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7675" w:type="dxa"/>
            <w:gridSpan w:val="2"/>
            <w:shd w:val="clear" w:color="auto" w:fill="auto"/>
            <w:noWrap/>
            <w:hideMark/>
          </w:tcPr>
          <w:p w14:paraId="7B2BEC13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008B Music History: The Baroque and Classical Eras</w:t>
            </w:r>
          </w:p>
        </w:tc>
      </w:tr>
      <w:tr w:rsidR="00374AEB" w:rsidRPr="00374AEB" w14:paraId="3E096312" w14:textId="77777777" w:rsidTr="009F4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80" w:type="dxa"/>
          <w:trHeight w:val="300"/>
        </w:trPr>
        <w:tc>
          <w:tcPr>
            <w:tcW w:w="2512" w:type="dxa"/>
            <w:shd w:val="clear" w:color="auto" w:fill="auto"/>
            <w:noWrap/>
            <w:hideMark/>
          </w:tcPr>
          <w:p w14:paraId="7F1D516F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Laney Course Updating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2CA09E9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7675" w:type="dxa"/>
            <w:gridSpan w:val="2"/>
            <w:shd w:val="clear" w:color="auto" w:fill="auto"/>
            <w:noWrap/>
            <w:hideMark/>
          </w:tcPr>
          <w:p w14:paraId="3BEAE96A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008C Music History: The Romantic Era</w:t>
            </w:r>
          </w:p>
        </w:tc>
      </w:tr>
      <w:tr w:rsidR="00374AEB" w:rsidRPr="00374AEB" w14:paraId="543AF0D8" w14:textId="77777777" w:rsidTr="009F4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80" w:type="dxa"/>
          <w:trHeight w:val="300"/>
        </w:trPr>
        <w:tc>
          <w:tcPr>
            <w:tcW w:w="2512" w:type="dxa"/>
            <w:shd w:val="clear" w:color="auto" w:fill="auto"/>
            <w:noWrap/>
            <w:hideMark/>
          </w:tcPr>
          <w:p w14:paraId="092A8208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Laney Course Updating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ECB343D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7675" w:type="dxa"/>
            <w:gridSpan w:val="2"/>
            <w:shd w:val="clear" w:color="auto" w:fill="auto"/>
            <w:noWrap/>
            <w:hideMark/>
          </w:tcPr>
          <w:p w14:paraId="149FDF01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008D Music History: The Twentieth Century Through the Present</w:t>
            </w:r>
          </w:p>
        </w:tc>
      </w:tr>
      <w:tr w:rsidR="00374AEB" w:rsidRPr="00374AEB" w14:paraId="2B5DBAC0" w14:textId="77777777" w:rsidTr="009F4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80" w:type="dxa"/>
          <w:trHeight w:val="300"/>
        </w:trPr>
        <w:tc>
          <w:tcPr>
            <w:tcW w:w="2512" w:type="dxa"/>
            <w:shd w:val="clear" w:color="auto" w:fill="auto"/>
            <w:noWrap/>
            <w:hideMark/>
          </w:tcPr>
          <w:p w14:paraId="7436733F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Laney Course Updating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7F01D7D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7675" w:type="dxa"/>
            <w:gridSpan w:val="2"/>
            <w:shd w:val="clear" w:color="auto" w:fill="auto"/>
            <w:noWrap/>
            <w:hideMark/>
          </w:tcPr>
          <w:p w14:paraId="01A829F1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 Choral Repertoire</w:t>
            </w:r>
          </w:p>
        </w:tc>
      </w:tr>
      <w:tr w:rsidR="00374AEB" w:rsidRPr="00374AEB" w14:paraId="693EC9F0" w14:textId="77777777" w:rsidTr="009F4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80" w:type="dxa"/>
          <w:trHeight w:val="300"/>
        </w:trPr>
        <w:tc>
          <w:tcPr>
            <w:tcW w:w="2512" w:type="dxa"/>
            <w:shd w:val="clear" w:color="auto" w:fill="auto"/>
            <w:noWrap/>
            <w:hideMark/>
          </w:tcPr>
          <w:p w14:paraId="45D21412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Laney New Course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758BDFC" w14:textId="77777777" w:rsidR="00374AEB" w:rsidRPr="00374AEB" w:rsidRDefault="00374AEB" w:rsidP="00374A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4AEB">
              <w:rPr>
                <w:rFonts w:ascii="Calibri" w:eastAsia="Times New Roman" w:hAnsi="Calibri" w:cs="Calibri"/>
              </w:rPr>
              <w:t>MUSIC</w:t>
            </w:r>
          </w:p>
        </w:tc>
        <w:tc>
          <w:tcPr>
            <w:tcW w:w="7675" w:type="dxa"/>
            <w:gridSpan w:val="2"/>
            <w:shd w:val="clear" w:color="auto" w:fill="auto"/>
            <w:noWrap/>
            <w:vAlign w:val="bottom"/>
            <w:hideMark/>
          </w:tcPr>
          <w:p w14:paraId="127D3AA0" w14:textId="77777777" w:rsidR="00374AEB" w:rsidRPr="00374AEB" w:rsidRDefault="00374AEB" w:rsidP="00374A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4AEB">
              <w:rPr>
                <w:rFonts w:ascii="Calibri" w:eastAsia="Times New Roman" w:hAnsi="Calibri" w:cs="Calibri"/>
              </w:rPr>
              <w:t>152  Live Sound</w:t>
            </w:r>
          </w:p>
        </w:tc>
      </w:tr>
      <w:tr w:rsidR="00374AEB" w:rsidRPr="00374AEB" w14:paraId="0E99CA59" w14:textId="77777777" w:rsidTr="009F4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80" w:type="dxa"/>
          <w:trHeight w:val="300"/>
        </w:trPr>
        <w:tc>
          <w:tcPr>
            <w:tcW w:w="2512" w:type="dxa"/>
            <w:shd w:val="clear" w:color="auto" w:fill="auto"/>
            <w:noWrap/>
            <w:hideMark/>
          </w:tcPr>
          <w:p w14:paraId="28D5F6C6" w14:textId="381AF4A9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Modification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368C3B3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7675" w:type="dxa"/>
            <w:gridSpan w:val="2"/>
            <w:shd w:val="clear" w:color="auto" w:fill="auto"/>
            <w:noWrap/>
            <w:hideMark/>
          </w:tcPr>
          <w:p w14:paraId="55288597" w14:textId="77777777" w:rsidR="00374AEB" w:rsidRPr="00374AEB" w:rsidRDefault="00374AEB" w:rsidP="0037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4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 Industry Studies</w:t>
            </w:r>
          </w:p>
        </w:tc>
      </w:tr>
    </w:tbl>
    <w:p w14:paraId="7EA5C70D" w14:textId="77777777" w:rsidR="00374AEB" w:rsidRDefault="00374AEB" w:rsidP="009F4A4E">
      <w:bookmarkStart w:id="0" w:name="_GoBack"/>
      <w:bookmarkEnd w:id="0"/>
    </w:p>
    <w:sectPr w:rsidR="00374AEB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B12FF" w14:textId="77777777" w:rsidR="008245B3" w:rsidRDefault="008245B3" w:rsidP="009B7369">
      <w:pPr>
        <w:spacing w:after="0" w:line="240" w:lineRule="auto"/>
      </w:pPr>
      <w:r>
        <w:separator/>
      </w:r>
    </w:p>
  </w:endnote>
  <w:endnote w:type="continuationSeparator" w:id="0">
    <w:p w14:paraId="74AB20AE" w14:textId="77777777" w:rsidR="008245B3" w:rsidRDefault="008245B3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6D36DBD2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5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5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59D63" w14:textId="77777777" w:rsidR="008245B3" w:rsidRDefault="008245B3" w:rsidP="009B7369">
      <w:pPr>
        <w:spacing w:after="0" w:line="240" w:lineRule="auto"/>
      </w:pPr>
      <w:r>
        <w:separator/>
      </w:r>
    </w:p>
  </w:footnote>
  <w:footnote w:type="continuationSeparator" w:id="0">
    <w:p w14:paraId="68361B97" w14:textId="77777777" w:rsidR="008245B3" w:rsidRDefault="008245B3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522E5"/>
    <w:rsid w:val="000572AA"/>
    <w:rsid w:val="00061AA5"/>
    <w:rsid w:val="00070A6C"/>
    <w:rsid w:val="00083144"/>
    <w:rsid w:val="00087368"/>
    <w:rsid w:val="000949F9"/>
    <w:rsid w:val="00095443"/>
    <w:rsid w:val="000961A5"/>
    <w:rsid w:val="000A0423"/>
    <w:rsid w:val="000A15DE"/>
    <w:rsid w:val="000C4694"/>
    <w:rsid w:val="000D08FF"/>
    <w:rsid w:val="000D79D1"/>
    <w:rsid w:val="000E28BA"/>
    <w:rsid w:val="000E350F"/>
    <w:rsid w:val="00113719"/>
    <w:rsid w:val="00125755"/>
    <w:rsid w:val="00126D98"/>
    <w:rsid w:val="00127DD7"/>
    <w:rsid w:val="00136A48"/>
    <w:rsid w:val="001521FA"/>
    <w:rsid w:val="00153074"/>
    <w:rsid w:val="00162918"/>
    <w:rsid w:val="00171504"/>
    <w:rsid w:val="00183E09"/>
    <w:rsid w:val="00190FDC"/>
    <w:rsid w:val="00191988"/>
    <w:rsid w:val="00194BFE"/>
    <w:rsid w:val="001C7C1B"/>
    <w:rsid w:val="001D66D9"/>
    <w:rsid w:val="001F32FB"/>
    <w:rsid w:val="002322BF"/>
    <w:rsid w:val="002503E9"/>
    <w:rsid w:val="00257368"/>
    <w:rsid w:val="002B31CC"/>
    <w:rsid w:val="002C6E1F"/>
    <w:rsid w:val="002D5795"/>
    <w:rsid w:val="002D6570"/>
    <w:rsid w:val="002E0E10"/>
    <w:rsid w:val="002E39FF"/>
    <w:rsid w:val="002F343B"/>
    <w:rsid w:val="002F4A54"/>
    <w:rsid w:val="002F5B60"/>
    <w:rsid w:val="002F664C"/>
    <w:rsid w:val="002F7F53"/>
    <w:rsid w:val="00311CF1"/>
    <w:rsid w:val="00315B5D"/>
    <w:rsid w:val="00320D8A"/>
    <w:rsid w:val="00350701"/>
    <w:rsid w:val="003544AC"/>
    <w:rsid w:val="003652A0"/>
    <w:rsid w:val="00374AEB"/>
    <w:rsid w:val="00385EAE"/>
    <w:rsid w:val="003943A4"/>
    <w:rsid w:val="00397DB5"/>
    <w:rsid w:val="003A563B"/>
    <w:rsid w:val="003A61FE"/>
    <w:rsid w:val="003B266F"/>
    <w:rsid w:val="003C1827"/>
    <w:rsid w:val="003E2CF7"/>
    <w:rsid w:val="003E4B17"/>
    <w:rsid w:val="003F0452"/>
    <w:rsid w:val="00403D7D"/>
    <w:rsid w:val="00427621"/>
    <w:rsid w:val="00437C7F"/>
    <w:rsid w:val="00476663"/>
    <w:rsid w:val="00477D3E"/>
    <w:rsid w:val="00490D9E"/>
    <w:rsid w:val="004C05AB"/>
    <w:rsid w:val="004C44BF"/>
    <w:rsid w:val="004C4FE1"/>
    <w:rsid w:val="004D4D34"/>
    <w:rsid w:val="004E13C6"/>
    <w:rsid w:val="004E65B2"/>
    <w:rsid w:val="004F0601"/>
    <w:rsid w:val="00523A42"/>
    <w:rsid w:val="00552989"/>
    <w:rsid w:val="0056696F"/>
    <w:rsid w:val="00580D8C"/>
    <w:rsid w:val="0058784B"/>
    <w:rsid w:val="00595464"/>
    <w:rsid w:val="005B035A"/>
    <w:rsid w:val="005B3794"/>
    <w:rsid w:val="005C2DB5"/>
    <w:rsid w:val="005C336F"/>
    <w:rsid w:val="005C668D"/>
    <w:rsid w:val="005E48AD"/>
    <w:rsid w:val="005E75BA"/>
    <w:rsid w:val="005F22A6"/>
    <w:rsid w:val="00601563"/>
    <w:rsid w:val="00605D72"/>
    <w:rsid w:val="00607B1B"/>
    <w:rsid w:val="00612E61"/>
    <w:rsid w:val="00616792"/>
    <w:rsid w:val="006205AB"/>
    <w:rsid w:val="006334C7"/>
    <w:rsid w:val="006433B8"/>
    <w:rsid w:val="00644C0A"/>
    <w:rsid w:val="006578D4"/>
    <w:rsid w:val="00671C95"/>
    <w:rsid w:val="006959EF"/>
    <w:rsid w:val="006B36B6"/>
    <w:rsid w:val="006B5FA4"/>
    <w:rsid w:val="006C2047"/>
    <w:rsid w:val="006E21CF"/>
    <w:rsid w:val="006E3181"/>
    <w:rsid w:val="006E358D"/>
    <w:rsid w:val="006E5F62"/>
    <w:rsid w:val="00703048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D57"/>
    <w:rsid w:val="007D10A6"/>
    <w:rsid w:val="007F1B80"/>
    <w:rsid w:val="008127E6"/>
    <w:rsid w:val="00814DC7"/>
    <w:rsid w:val="0081646E"/>
    <w:rsid w:val="008245B3"/>
    <w:rsid w:val="00830C58"/>
    <w:rsid w:val="00844F1B"/>
    <w:rsid w:val="00861787"/>
    <w:rsid w:val="00862B81"/>
    <w:rsid w:val="00862E5A"/>
    <w:rsid w:val="00863C60"/>
    <w:rsid w:val="00873E00"/>
    <w:rsid w:val="008741B5"/>
    <w:rsid w:val="008922D1"/>
    <w:rsid w:val="00897D10"/>
    <w:rsid w:val="008A6E3C"/>
    <w:rsid w:val="008B1878"/>
    <w:rsid w:val="008C34C7"/>
    <w:rsid w:val="008C55A7"/>
    <w:rsid w:val="008E786E"/>
    <w:rsid w:val="008F6C8F"/>
    <w:rsid w:val="00900B38"/>
    <w:rsid w:val="00916177"/>
    <w:rsid w:val="00921312"/>
    <w:rsid w:val="0092422C"/>
    <w:rsid w:val="0093031B"/>
    <w:rsid w:val="009355C7"/>
    <w:rsid w:val="0095193A"/>
    <w:rsid w:val="00960C9F"/>
    <w:rsid w:val="00971398"/>
    <w:rsid w:val="009724AB"/>
    <w:rsid w:val="00972FFC"/>
    <w:rsid w:val="009806E4"/>
    <w:rsid w:val="00993537"/>
    <w:rsid w:val="009A7C52"/>
    <w:rsid w:val="009B44B0"/>
    <w:rsid w:val="009B7369"/>
    <w:rsid w:val="009D7E0A"/>
    <w:rsid w:val="009E1E43"/>
    <w:rsid w:val="009E329D"/>
    <w:rsid w:val="009F4A4E"/>
    <w:rsid w:val="00A13B36"/>
    <w:rsid w:val="00A4185C"/>
    <w:rsid w:val="00A46631"/>
    <w:rsid w:val="00A61FD0"/>
    <w:rsid w:val="00A71054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461FB"/>
    <w:rsid w:val="00B51F97"/>
    <w:rsid w:val="00B97BCB"/>
    <w:rsid w:val="00BA4CE6"/>
    <w:rsid w:val="00BD22C2"/>
    <w:rsid w:val="00BD3A28"/>
    <w:rsid w:val="00BE565C"/>
    <w:rsid w:val="00C0042A"/>
    <w:rsid w:val="00C12C2C"/>
    <w:rsid w:val="00C26A97"/>
    <w:rsid w:val="00C2772B"/>
    <w:rsid w:val="00C33563"/>
    <w:rsid w:val="00C378E3"/>
    <w:rsid w:val="00C43724"/>
    <w:rsid w:val="00C45A29"/>
    <w:rsid w:val="00C61334"/>
    <w:rsid w:val="00C76E02"/>
    <w:rsid w:val="00C84C89"/>
    <w:rsid w:val="00C852E4"/>
    <w:rsid w:val="00C859A2"/>
    <w:rsid w:val="00C9304B"/>
    <w:rsid w:val="00CF1B6B"/>
    <w:rsid w:val="00D04E6F"/>
    <w:rsid w:val="00D05D91"/>
    <w:rsid w:val="00D12ABF"/>
    <w:rsid w:val="00D32000"/>
    <w:rsid w:val="00D33EEE"/>
    <w:rsid w:val="00D37DA5"/>
    <w:rsid w:val="00D4157E"/>
    <w:rsid w:val="00D46F7B"/>
    <w:rsid w:val="00D91EFB"/>
    <w:rsid w:val="00D93697"/>
    <w:rsid w:val="00DA0CD7"/>
    <w:rsid w:val="00DC6E21"/>
    <w:rsid w:val="00DD632F"/>
    <w:rsid w:val="00DE5050"/>
    <w:rsid w:val="00DE59CF"/>
    <w:rsid w:val="00DF6B99"/>
    <w:rsid w:val="00E221F2"/>
    <w:rsid w:val="00E313D1"/>
    <w:rsid w:val="00E65F81"/>
    <w:rsid w:val="00E76121"/>
    <w:rsid w:val="00E869D3"/>
    <w:rsid w:val="00E91C97"/>
    <w:rsid w:val="00E9254A"/>
    <w:rsid w:val="00E97072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67A4"/>
    <w:rsid w:val="00FB1528"/>
    <w:rsid w:val="00FB4085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5</cp:revision>
  <dcterms:created xsi:type="dcterms:W3CDTF">2019-05-08T17:19:00Z</dcterms:created>
  <dcterms:modified xsi:type="dcterms:W3CDTF">2019-08-15T00:13:00Z</dcterms:modified>
</cp:coreProperties>
</file>