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D25BAA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January 30, 2019</w:t>
            </w:r>
          </w:p>
        </w:tc>
      </w:tr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D25BAA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T-850, 10:3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0 a.m.-12:00 p.m. </w:t>
            </w:r>
          </w:p>
        </w:tc>
      </w:tr>
      <w:tr w:rsidR="00D25BAA" w:rsidRPr="00885C45" w:rsidTr="00102472">
        <w:trPr>
          <w:trHeight w:val="19"/>
        </w:trPr>
        <w:tc>
          <w:tcPr>
            <w:tcW w:w="2069" w:type="dxa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D25BAA" w:rsidRPr="009E79B5" w:rsidRDefault="00D25BAA" w:rsidP="00102472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Instruction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Denise Richardson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(Studen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t Services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&amp; Systems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Technology Analyst-Clifton Coleman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Bourgoin*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Faculty/Guided Pathways-Suzan 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roth-Zavala*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Associated Students of Laney College (ASLC) Representative-Evetta Williams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:rsidR="00D25BAA" w:rsidRPr="00814CC6" w:rsidRDefault="00D25BAA" w:rsidP="00102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AA" w:rsidRDefault="008F5F64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Call to order @ 10:37;</w:t>
            </w:r>
          </w:p>
          <w:p w:rsidR="008F5F64" w:rsidRDefault="008F5F64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Change Outline &amp; Proposed Timeline</w:t>
            </w:r>
          </w:p>
          <w:p w:rsidR="008F5F64" w:rsidRPr="00FF00CD" w:rsidRDefault="008F5F64" w:rsidP="008F5F64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If time doesn’t allow we will table agenda IV and Max will email info.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8F5F64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Rudy move to accept agenda</w:t>
            </w:r>
            <w:r w:rsidR="002D494B">
              <w:rPr>
                <w:rFonts w:ascii="Times New Roman" w:eastAsia="Cambria" w:hAnsi="Times New Roman" w:cs="Times New Roman"/>
                <w:sz w:val="20"/>
                <w:szCs w:val="20"/>
              </w:rPr>
              <w:t>; Terrence 2</w:t>
            </w:r>
            <w:r w:rsidR="002D494B" w:rsidRPr="002D494B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nd</w:t>
            </w:r>
            <w:r w:rsidR="002D494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8F5F64" w:rsidRPr="00FF00CD" w:rsidRDefault="008F5F64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No abstention agenda approved</w:t>
            </w: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:rsidR="00D25BAA" w:rsidRPr="00814CC6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2D494B" w:rsidP="00102472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Edit: Sec. III-3 bullets from bottom</w:t>
            </w:r>
          </w:p>
          <w:p w:rsidR="002D494B" w:rsidRPr="00FF00CD" w:rsidRDefault="002D494B" w:rsidP="00102472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VP: reviewing outline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2D494B" w:rsidP="002D494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Fred moved to approve minutes; Eleni 2</w:t>
            </w:r>
            <w:r w:rsidRPr="002D494B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nd</w:t>
            </w:r>
          </w:p>
          <w:p w:rsidR="002D494B" w:rsidRPr="002D494B" w:rsidRDefault="002D494B" w:rsidP="002D494B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5 Abstentions: Rudy; Rupinder; Terrence; </w:t>
            </w: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Enrollment Management Plan-Proposed Outline and Timeline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2D494B" w:rsidP="002E5A9D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Group discussed </w:t>
            </w:r>
            <w:r w:rsidR="00F4071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SharePoint and how to navigate through the document in addition to </w:t>
            </w:r>
            <w:r w:rsidR="00F666E1">
              <w:rPr>
                <w:rFonts w:ascii="Times New Roman" w:eastAsia="Cambria" w:hAnsi="Times New Roman" w:cs="Times New Roman"/>
                <w:sz w:val="20"/>
                <w:szCs w:val="20"/>
              </w:rPr>
              <w:t>conversing over</w:t>
            </w:r>
            <w:r w:rsidR="00F4071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the process and how rubric/foundation </w:t>
            </w:r>
            <w:proofErr w:type="gramStart"/>
            <w:r w:rsidR="00F4071A">
              <w:rPr>
                <w:rFonts w:ascii="Times New Roman" w:eastAsia="Cambria" w:hAnsi="Times New Roman" w:cs="Times New Roman"/>
                <w:sz w:val="20"/>
                <w:szCs w:val="20"/>
              </w:rPr>
              <w:t>was</w:t>
            </w:r>
            <w:bookmarkStart w:id="0" w:name="_GoBack"/>
            <w:bookmarkEnd w:id="0"/>
            <w:r w:rsidR="00F4071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built</w:t>
            </w:r>
            <w:proofErr w:type="gramEnd"/>
            <w:r w:rsidR="00F4071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… Explained the pillars: two pillars guided pathways; </w:t>
            </w:r>
            <w:proofErr w:type="spellStart"/>
            <w:r w:rsidR="00F4071A">
              <w:rPr>
                <w:rFonts w:ascii="Times New Roman" w:eastAsia="Cambria" w:hAnsi="Times New Roman" w:cs="Times New Roman"/>
                <w:sz w:val="20"/>
                <w:szCs w:val="20"/>
              </w:rPr>
              <w:t>out side</w:t>
            </w:r>
            <w:proofErr w:type="spellEnd"/>
            <w:r w:rsidR="00F4071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="00F4071A">
              <w:rPr>
                <w:rFonts w:ascii="Times New Roman" w:eastAsia="Cambria" w:hAnsi="Times New Roman" w:cs="Times New Roman"/>
                <w:sz w:val="20"/>
                <w:szCs w:val="20"/>
              </w:rPr>
              <w:t>assement</w:t>
            </w:r>
            <w:proofErr w:type="spellEnd"/>
            <w:r w:rsidR="00F4071A">
              <w:rPr>
                <w:rFonts w:ascii="Times New Roman" w:eastAsia="Cambria" w:hAnsi="Times New Roman" w:cs="Times New Roman"/>
                <w:sz w:val="20"/>
                <w:szCs w:val="20"/>
              </w:rPr>
              <w:t>; outreach</w:t>
            </w:r>
            <w:proofErr w:type="gramStart"/>
            <w:r w:rsidR="00F4071A">
              <w:rPr>
                <w:rFonts w:ascii="Times New Roman" w:eastAsia="Cambria" w:hAnsi="Times New Roman" w:cs="Times New Roman"/>
                <w:sz w:val="20"/>
                <w:szCs w:val="20"/>
              </w:rPr>
              <w:t>…  shared</w:t>
            </w:r>
            <w:proofErr w:type="gramEnd"/>
            <w:r w:rsidR="00F4071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what should </w:t>
            </w:r>
            <w:r w:rsidR="00F4071A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be in column one; we could move pillar one in table; Shared SharePoint plan document with committee</w:t>
            </w:r>
            <w:r w:rsidR="00F4071A" w:rsidRPr="002E5A9D"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</w:rPr>
              <w:t xml:space="preserve">. </w:t>
            </w:r>
            <w:r w:rsidR="002E5A9D" w:rsidRPr="002E5A9D"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</w:rPr>
              <w:t>In plan put see appendix</w:t>
            </w:r>
          </w:p>
          <w:p w:rsidR="002E5A9D" w:rsidRPr="00126D77" w:rsidRDefault="002E5A9D" w:rsidP="00030DD4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Max/Rupinder both questioned giving people/department credit there input… Eleni wanted to include student input (what they want)…</w:t>
            </w:r>
            <w:r w:rsidR="00240CA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Rudy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questioned adding student needs including…. Max shared adding who would </w:t>
            </w:r>
            <w:r w:rsidR="00240CAA">
              <w:rPr>
                <w:rFonts w:ascii="Times New Roman" w:eastAsia="Cambria" w:hAnsi="Times New Roman" w:cs="Times New Roman"/>
                <w:sz w:val="20"/>
                <w:szCs w:val="20"/>
              </w:rPr>
              <w:t>add who’s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responsible for certain items… Ru</w:t>
            </w:r>
            <w:r w:rsidR="00240CA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dy asked of IEPI members should we add hard monetary amounts in plan. Dean Lewis </w:t>
            </w:r>
            <w:proofErr w:type="gramStart"/>
            <w:r w:rsidR="00240CA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suggested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240CAA">
              <w:rPr>
                <w:rFonts w:ascii="Times New Roman" w:eastAsia="Cambria" w:hAnsi="Times New Roman" w:cs="Times New Roman"/>
                <w:sz w:val="20"/>
                <w:szCs w:val="20"/>
              </w:rPr>
              <w:t>adding</w:t>
            </w:r>
            <w:proofErr w:type="gramEnd"/>
            <w:r w:rsidR="00240CA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….. VP shared timeline updates for February; Max/Dean Richardson volunteered to assist with edits… Max questioned if we would have accurate time for 1</w:t>
            </w:r>
            <w:r w:rsidR="00240CAA" w:rsidRPr="00240CAA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st</w:t>
            </w:r>
            <w:r w:rsidR="00240CA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&amp; 2</w:t>
            </w:r>
            <w:r w:rsidR="00240CAA" w:rsidRPr="00240CAA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nd</w:t>
            </w:r>
            <w:r w:rsidR="00240CA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read would be in time for upcoming college council since it must be forwarded to M</w:t>
            </w:r>
            <w:r w:rsidR="00030DD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aisha two weeks before meeting… VP shared it shortened our vetting time since it must go to various shared governance committees/constituents…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Default="00030DD4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Pillar-Outreach:derek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p/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mildred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rupinder</w:t>
            </w:r>
            <w:proofErr w:type="spellEnd"/>
          </w:p>
          <w:p w:rsidR="00030DD4" w:rsidRDefault="00030DD4" w:rsidP="00030DD4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Scheduling-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denise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/Terrence/ Eleni/Fred/Rudy</w:t>
            </w:r>
          </w:p>
          <w:p w:rsidR="00030DD4" w:rsidRDefault="00030DD4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Marketing-max</w:t>
            </w:r>
          </w:p>
          <w:p w:rsidR="00030DD4" w:rsidRDefault="00030DD4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Support for students-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vp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/,derek lee/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denise</w:t>
            </w:r>
            <w:proofErr w:type="spellEnd"/>
          </w:p>
          <w:p w:rsidR="0093768B" w:rsidRDefault="0093768B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Ensuring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learing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: Fred/Rudy</w:t>
            </w:r>
          </w:p>
          <w:p w:rsidR="00E401B1" w:rsidRDefault="00E401B1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Gary-ASLC</w:t>
            </w:r>
          </w:p>
          <w:p w:rsidR="00E401B1" w:rsidRDefault="00E401B1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Eleni-Classified senate</w:t>
            </w:r>
          </w:p>
          <w:p w:rsidR="00E401B1" w:rsidRDefault="00E401B1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Tech Planning Committee-Max/Rupinder</w:t>
            </w:r>
          </w:p>
          <w:p w:rsidR="00E401B1" w:rsidRDefault="00E401B1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Exec. Cab.-</w:t>
            </w:r>
          </w:p>
          <w:p w:rsidR="00E401B1" w:rsidRDefault="00E401B1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IEC-</w:t>
            </w:r>
          </w:p>
          <w:p w:rsidR="00E401B1" w:rsidRDefault="00E401B1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Gary questioned timeline for constituents groups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reccomendations</w:t>
            </w:r>
            <w:proofErr w:type="spellEnd"/>
          </w:p>
          <w:p w:rsidR="00E401B1" w:rsidRPr="00126D77" w:rsidRDefault="00E401B1" w:rsidP="00E401B1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Communication-</w:t>
            </w:r>
          </w:p>
          <w:p w:rsidR="00D25BAA" w:rsidRPr="00814CC6" w:rsidRDefault="00D25BAA" w:rsidP="00D2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Max/All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941ED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Tabled/Max will send email to committee</w:t>
            </w:r>
            <w:r w:rsidR="00F4071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941EDA" w:rsidRPr="00126D77" w:rsidRDefault="00941ED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D25BAA" w:rsidP="00D25B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Clifton Coleman-</w:t>
            </w:r>
          </w:p>
          <w:p w:rsidR="00D25BAA" w:rsidRDefault="00D25BAA" w:rsidP="00D2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Updates</w:t>
            </w:r>
          </w:p>
          <w:p w:rsidR="00D25BAA" w:rsidRPr="00814CC6" w:rsidRDefault="00D25BAA" w:rsidP="00D2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941ED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Outreach: will change repurposing of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assement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dept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-&gt; will use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assement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new name… Dean Lewis will follow up with any missing information in regards to union,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h.r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etc, customizing ccc apply for welcome video for 19-20 enrollment... will </w:t>
            </w:r>
          </w:p>
          <w:p w:rsidR="00941EDA" w:rsidRDefault="00B26502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Sched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Practices: confused on bullet points questioned what the charge was for group; asked why didn’t have a-d lists as others do…questioned should (all) pillars have same uniformity…will activities be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apart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of table;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terrance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asked if we should action points;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fred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-put a-c on list action items</w:t>
            </w:r>
          </w:p>
          <w:p w:rsidR="00B26502" w:rsidRDefault="00B26502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Support to students- Will make necessary wording adjustments</w:t>
            </w:r>
          </w:p>
          <w:p w:rsidR="00B26502" w:rsidRDefault="00E401B1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Marketing-creation marketing media;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soc.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Media; digital media use of more; follow up with high school/local business; follow up with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iniatives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to increase… </w:t>
            </w:r>
          </w:p>
          <w:p w:rsidR="00B26502" w:rsidRPr="00126D77" w:rsidRDefault="00E401B1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Ensuring learning: use of data,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assement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and improvement; professional development;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B26502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Rudy-Motion to extend 5 min</w:t>
            </w:r>
          </w:p>
          <w:p w:rsidR="00B26502" w:rsidRPr="00126D77" w:rsidRDefault="00B26502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No </w:t>
            </w:r>
            <w:r w:rsidR="00E401B1">
              <w:rPr>
                <w:rFonts w:ascii="Times New Roman" w:eastAsia="Cambria" w:hAnsi="Times New Roman" w:cs="Times New Roman"/>
                <w:sz w:val="20"/>
                <w:szCs w:val="20"/>
              </w:rPr>
              <w:t>abstentions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meeting to extend to 12:05</w:t>
            </w:r>
          </w:p>
        </w:tc>
      </w:tr>
    </w:tbl>
    <w:p w:rsidR="00D25BAA" w:rsidRDefault="00D25BAA" w:rsidP="00D25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February 6, 2019;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p w:rsidR="00E401B1" w:rsidRDefault="00E401B1" w:rsidP="00D25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VP Motioned to adjourn @12:05</w:t>
      </w:r>
    </w:p>
    <w:p w:rsidR="00E401B1" w:rsidRPr="00126D77" w:rsidRDefault="00E401B1" w:rsidP="00D25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Rudy 2</w:t>
      </w:r>
      <w:r w:rsidRPr="00E401B1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to adjourn meeting</w:t>
      </w:r>
    </w:p>
    <w:p w:rsidR="00E50CE1" w:rsidRDefault="00F666E1"/>
    <w:sectPr w:rsidR="00E50C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E6" w:rsidRDefault="00E401B1">
      <w:pPr>
        <w:spacing w:after="0" w:line="240" w:lineRule="auto"/>
      </w:pPr>
      <w:r>
        <w:separator/>
      </w:r>
    </w:p>
  </w:endnote>
  <w:endnote w:type="continuationSeparator" w:id="0">
    <w:p w:rsidR="009D46E6" w:rsidRDefault="00E4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E6" w:rsidRDefault="00E401B1">
      <w:pPr>
        <w:spacing w:after="0" w:line="240" w:lineRule="auto"/>
      </w:pPr>
      <w:r>
        <w:separator/>
      </w:r>
    </w:p>
  </w:footnote>
  <w:footnote w:type="continuationSeparator" w:id="0">
    <w:p w:rsidR="009D46E6" w:rsidRDefault="00E4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>
      <w:rPr>
        <w:rFonts w:ascii="Georgia" w:eastAsia="Times New Roman" w:hAnsi="Georgia" w:cs="Times New Roman"/>
        <w:b/>
        <w:color w:val="FF0000"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C06ECD9A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AE1984"/>
    <w:multiLevelType w:val="hybridMultilevel"/>
    <w:tmpl w:val="B19A0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A"/>
    <w:rsid w:val="00030DD4"/>
    <w:rsid w:val="00240CAA"/>
    <w:rsid w:val="002D494B"/>
    <w:rsid w:val="002E5A9D"/>
    <w:rsid w:val="008F5F64"/>
    <w:rsid w:val="0093768B"/>
    <w:rsid w:val="00941EDA"/>
    <w:rsid w:val="009D46E6"/>
    <w:rsid w:val="00B26502"/>
    <w:rsid w:val="00B41949"/>
    <w:rsid w:val="00D25BAA"/>
    <w:rsid w:val="00E02538"/>
    <w:rsid w:val="00E401B1"/>
    <w:rsid w:val="00E76BFF"/>
    <w:rsid w:val="00F4071A"/>
    <w:rsid w:val="00F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97F9F-FE93-43EB-8417-B67530A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FA7A-8D0F-4256-9979-04238802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8</cp:revision>
  <dcterms:created xsi:type="dcterms:W3CDTF">2019-01-30T18:40:00Z</dcterms:created>
  <dcterms:modified xsi:type="dcterms:W3CDTF">2019-07-31T19:39:00Z</dcterms:modified>
</cp:coreProperties>
</file>