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780DB0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780DB0">
              <w:rPr>
                <w:rFonts w:ascii="Georgia" w:eastAsia="Times New Roman" w:hAnsi="Georgia" w:cs="Calibri"/>
                <w:b/>
                <w:sz w:val="18"/>
                <w:szCs w:val="18"/>
              </w:rPr>
              <w:t>March 13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 xml:space="preserve">Vacant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780DB0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Meeting Called to Order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780DB0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VP Ferguson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780DB0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the Draft: Strategic Enrollment Management Plan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780DB0" w:rsidP="00780DB0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Vicki and Fred shared with the group the updates worked on by Eleni, Suzan, Fred, Vicki and Rudy. Since the last draft, a chart with the activities, metrics, timeline and responsible leads were added, which will be included in the appendix.</w:t>
            </w:r>
          </w:p>
          <w:p w:rsidR="00780DB0" w:rsidRDefault="00780DB0" w:rsidP="00780DB0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The committee reviewed each page of the document. </w:t>
            </w:r>
          </w:p>
          <w:p w:rsidR="00780DB0" w:rsidRDefault="00780DB0" w:rsidP="00780DB0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Feedback </w:t>
            </w:r>
            <w:proofErr w:type="gram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was provided</w:t>
            </w:r>
            <w:proofErr w:type="gram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(edits, adding action verbs, etc.)</w:t>
            </w:r>
          </w:p>
          <w:p w:rsidR="00E62FDC" w:rsidRDefault="00780DB0" w:rsidP="00780DB0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Committee voted on the edits; one </w:t>
            </w:r>
            <w:r w:rsidR="00E62FDC">
              <w:rPr>
                <w:rFonts w:ascii="Times New Roman" w:eastAsia="Cambria" w:hAnsi="Times New Roman" w:cs="Times New Roman"/>
                <w:sz w:val="20"/>
                <w:szCs w:val="20"/>
              </w:rPr>
              <w:t>abstention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780DB0" w:rsidRDefault="00E62FDC" w:rsidP="00780DB0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Committee voted</w:t>
            </w:r>
            <w:r w:rsidR="00780DB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on the charge and responsibilities; one abstentions.</w:t>
            </w:r>
          </w:p>
          <w:p w:rsidR="00E62FDC" w:rsidRPr="00FF00CD" w:rsidRDefault="00E62FDC" w:rsidP="00E62FDC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The draft SEM Plan and new committee charge/responsibilities will go to College Council for a first read on Wednesday, March 20, 2019; Faculty Senate on Tuesday, March 19, 2019; Classified Senate on Friday, March 15, 2019; Gary will take Associated Students of Laney College (ASLC) next week.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E62FDC" w:rsidRDefault="00E62FDC" w:rsidP="004969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2F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Adjournment</w:t>
            </w:r>
          </w:p>
          <w:p w:rsidR="00D25BAA" w:rsidRPr="00814CC6" w:rsidRDefault="00D25BAA" w:rsidP="00CB49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E62FDC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Fred motion to adjourn; Rudy seconded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CB497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March </w:t>
      </w:r>
      <w:r w:rsidR="00E62FD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2019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;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E50CE1" w:rsidRDefault="00E62FDC"/>
    <w:sectPr w:rsidR="00E50C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C7" w:rsidRDefault="00B80412">
      <w:pPr>
        <w:spacing w:after="0" w:line="240" w:lineRule="auto"/>
      </w:pPr>
      <w:r>
        <w:separator/>
      </w:r>
    </w:p>
  </w:endnote>
  <w:endnote w:type="continuationSeparator" w:id="0">
    <w:p w:rsidR="007D33C7" w:rsidRDefault="00B8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C7" w:rsidRDefault="00B80412">
      <w:pPr>
        <w:spacing w:after="0" w:line="240" w:lineRule="auto"/>
      </w:pPr>
      <w:r>
        <w:separator/>
      </w:r>
    </w:p>
  </w:footnote>
  <w:footnote w:type="continuationSeparator" w:id="0">
    <w:p w:rsidR="007D33C7" w:rsidRDefault="00B8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780DB0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>
      <w:rPr>
        <w:rFonts w:ascii="Georgia" w:eastAsia="Times New Roman" w:hAnsi="Georgia" w:cs="Times New Roman"/>
        <w:b/>
        <w:color w:val="70AD47" w:themeColor="accent6"/>
        <w:sz w:val="28"/>
        <w:szCs w:val="28"/>
      </w:rPr>
      <w:t>SPECIAL</w:t>
    </w:r>
    <w:r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 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ADE82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404677"/>
    <w:rsid w:val="00780DB0"/>
    <w:rsid w:val="007D33C7"/>
    <w:rsid w:val="00B80412"/>
    <w:rsid w:val="00CB4976"/>
    <w:rsid w:val="00D25BAA"/>
    <w:rsid w:val="00E02538"/>
    <w:rsid w:val="00E62FDC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C0CA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B0"/>
  </w:style>
  <w:style w:type="paragraph" w:styleId="Footer">
    <w:name w:val="footer"/>
    <w:basedOn w:val="Normal"/>
    <w:link w:val="FooterChar"/>
    <w:uiPriority w:val="99"/>
    <w:unhideWhenUsed/>
    <w:rsid w:val="00780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dcterms:created xsi:type="dcterms:W3CDTF">2019-03-20T00:46:00Z</dcterms:created>
  <dcterms:modified xsi:type="dcterms:W3CDTF">2019-03-20T00:46:00Z</dcterms:modified>
</cp:coreProperties>
</file>