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Original Charge of Foundation Skills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Charge of the Foundation Skills Committee (as approved by College Council in fall 2015):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Identify and implement strategies to improve the success rates in English, ESOL and math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Annually assess, revise and implement the Basic Skills Plan included in the Educational Master Plan.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Identify grant opportunities, review and make recommendations on grant proposals addressing basic skills initiatives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Determine budget priorities and allocation of basic skills funds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Ensure the integration of the ESL/Basic Skills Plan with the plans for student equity,  SSSP and grant-funded &amp; categorical programs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fEnsure student involvement in the development of the ESL/Basic Skills Plan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We were requested to add responsibilities to our charge to make everything more uniform in the Participatory Governance Manual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The committee met and this is what we want to do.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The committee felt that most of the charges were actually responsibilities and that we only have one main charge.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Proposed Change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Charge of the Foundation Skills Committee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Identify and implement strategies to improve the success rates in English, ESOL, and Math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Responsibilities of the Foundation Skills Committee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Annually assess, revise and implement the Basic Skills Plan included in the Educational Master Plan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Identify grant opportunities, review and make recommendations on grant proposals addressing basic skills initiatives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Determine budget priorities and allocation of basic skills funds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Ensure the integration of the ESL/Basic Skills Plan with the plans for student equity,  SSSP, and grant-funded &amp; categorical programs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Facilitate student representatives regularly to help with the development of the ESL/Basic Skills Plan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144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Evaluate proposals for their merit in helping students at the basic skills level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firstLine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